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482A" w:rsidRPr="00BD482A" w:rsidRDefault="00BD482A" w:rsidP="00BD482A">
      <w:pPr>
        <w:spacing w:line="360" w:lineRule="auto"/>
        <w:jc w:val="left"/>
        <w:rPr>
          <w:rFonts w:asciiTheme="majorHAnsi" w:eastAsiaTheme="majorEastAsia" w:hAnsiTheme="majorHAnsi" w:cstheme="majorBidi"/>
          <w:iCs/>
          <w:sz w:val="18"/>
          <w:szCs w:val="28"/>
        </w:rPr>
      </w:pPr>
      <w:r w:rsidRPr="00BD482A">
        <w:rPr>
          <w:rFonts w:asciiTheme="majorHAnsi" w:eastAsiaTheme="majorEastAsia" w:hAnsiTheme="majorHAnsi" w:cstheme="majorBidi"/>
          <w:iCs/>
          <w:noProof/>
          <w:sz w:val="18"/>
          <w:szCs w:val="28"/>
          <w:lang w:eastAsia="en-GB"/>
        </w:rPr>
        <mc:AlternateContent>
          <mc:Choice Requires="wps">
            <w:drawing>
              <wp:anchor distT="0" distB="0" distL="114300" distR="114300" simplePos="0" relativeHeight="251663360" behindDoc="0" locked="0" layoutInCell="1" allowOverlap="1" wp14:anchorId="1DD7932C" wp14:editId="7235BF32">
                <wp:simplePos x="0" y="0"/>
                <wp:positionH relativeFrom="column">
                  <wp:posOffset>3294038</wp:posOffset>
                </wp:positionH>
                <wp:positionV relativeFrom="paragraph">
                  <wp:posOffset>1696227</wp:posOffset>
                </wp:positionV>
                <wp:extent cx="3186449" cy="238760"/>
                <wp:effectExtent l="0" t="0" r="1397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49" cy="238760"/>
                        </a:xfrm>
                        <a:prstGeom prst="rect">
                          <a:avLst/>
                        </a:prstGeom>
                        <a:solidFill>
                          <a:srgbClr val="FFFFFF"/>
                        </a:solidFill>
                        <a:ln w="9525">
                          <a:solidFill>
                            <a:srgbClr val="000000"/>
                          </a:solidFill>
                          <a:miter lim="800000"/>
                          <a:headEnd/>
                          <a:tailEnd/>
                        </a:ln>
                      </wps:spPr>
                      <wps:txbx>
                        <w:txbxContent>
                          <w:p w:rsidR="00BD482A" w:rsidRPr="00BD482A" w:rsidRDefault="00BD482A" w:rsidP="00BD482A">
                            <w:pPr>
                              <w:jc w:val="left"/>
                              <w:rPr>
                                <w:b/>
                              </w:rPr>
                            </w:pPr>
                            <w:r w:rsidRPr="00BD482A">
                              <w:rPr>
                                <w:b/>
                                <w:sz w:val="16"/>
                              </w:rPr>
                              <w:t>SEN Officer:</w:t>
                            </w:r>
                            <w:r>
                              <w:rPr>
                                <w:b/>
                                <w:sz w:val="16"/>
                              </w:rPr>
                              <w:t xml:space="preserve"> </w:t>
                            </w:r>
                            <w:r w:rsidRPr="00BD482A">
                              <w:rPr>
                                <w:b/>
                              </w:rPr>
                              <w:tab/>
                            </w:r>
                            <w:r w:rsidRPr="00BD482A">
                              <w:rPr>
                                <w:b/>
                              </w:rPr>
                              <w:tab/>
                            </w:r>
                            <w:r w:rsidRPr="00BD482A">
                              <w:rPr>
                                <w:b/>
                              </w:rPr>
                              <w:tab/>
                            </w:r>
                            <w:r w:rsidRPr="00BD482A">
                              <w:rPr>
                                <w:b/>
                              </w:rPr>
                              <w:tab/>
                            </w:r>
                            <w:r w:rsidRPr="00BD482A">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5pt;margin-top:133.55pt;width:250.9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">
                <v:textbox>
                  <w:txbxContent>
                    <w:p w:rsidR="00BD482A" w:rsidRPr="00BD482A" w:rsidRDefault="00BD482A" w:rsidP="00BD482A">
                      <w:pPr>
                        <w:jc w:val="left"/>
                        <w:rPr>
                          <w:b/>
                        </w:rPr>
                      </w:pPr>
                      <w:r w:rsidRPr="00BD482A">
                        <w:rPr>
                          <w:b/>
                          <w:sz w:val="16"/>
                        </w:rPr>
                        <w:t>SEN Officer:</w:t>
                      </w:r>
                      <w:r>
                        <w:rPr>
                          <w:b/>
                          <w:sz w:val="16"/>
                        </w:rPr>
                        <w:t xml:space="preserve"> </w:t>
                      </w:r>
                      <w:r w:rsidRPr="00BD482A">
                        <w:rPr>
                          <w:b/>
                        </w:rPr>
                        <w:tab/>
                      </w:r>
                      <w:r w:rsidRPr="00BD482A">
                        <w:rPr>
                          <w:b/>
                        </w:rPr>
                        <w:tab/>
                      </w:r>
                      <w:r w:rsidRPr="00BD482A">
                        <w:rPr>
                          <w:b/>
                        </w:rPr>
                        <w:tab/>
                      </w:r>
                      <w:r w:rsidRPr="00BD482A">
                        <w:rPr>
                          <w:b/>
                        </w:rPr>
                        <w:tab/>
                      </w:r>
                      <w:r w:rsidRPr="00BD482A">
                        <w:rPr>
                          <w:b/>
                        </w:rPr>
                        <w:tab/>
                      </w:r>
                    </w:p>
                  </w:txbxContent>
                </v:textbox>
              </v:shape>
            </w:pict>
          </mc:Fallback>
        </mc:AlternateContent>
      </w:r>
      <w:r w:rsidRPr="00BD482A">
        <w:rPr>
          <w:rFonts w:asciiTheme="majorHAnsi" w:eastAsiaTheme="majorEastAsia" w:hAnsiTheme="majorHAnsi" w:cstheme="majorBidi"/>
          <w:iCs/>
          <w:noProof/>
          <w:sz w:val="18"/>
          <w:szCs w:val="28"/>
          <w:lang w:eastAsia="en-GB"/>
        </w:rPr>
        <mc:AlternateContent>
          <mc:Choice Requires="wps">
            <w:drawing>
              <wp:anchor distT="0" distB="0" distL="114300" distR="114300" simplePos="0" relativeHeight="251661312" behindDoc="0" locked="0" layoutInCell="1" allowOverlap="1" wp14:anchorId="12F4D48F" wp14:editId="558B1AEF">
                <wp:simplePos x="0" y="0"/>
                <wp:positionH relativeFrom="column">
                  <wp:posOffset>86815</wp:posOffset>
                </wp:positionH>
                <wp:positionV relativeFrom="paragraph">
                  <wp:posOffset>1696227</wp:posOffset>
                </wp:positionV>
                <wp:extent cx="3152633" cy="238760"/>
                <wp:effectExtent l="0" t="0" r="101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633" cy="238760"/>
                        </a:xfrm>
                        <a:prstGeom prst="rect">
                          <a:avLst/>
                        </a:prstGeom>
                        <a:solidFill>
                          <a:srgbClr val="FFFFFF"/>
                        </a:solidFill>
                        <a:ln w="9525">
                          <a:solidFill>
                            <a:srgbClr val="000000"/>
                          </a:solidFill>
                          <a:miter lim="800000"/>
                          <a:headEnd/>
                          <a:tailEnd/>
                        </a:ln>
                      </wps:spPr>
                      <wps:txbx>
                        <w:txbxContent>
                          <w:p w:rsidR="00BD482A" w:rsidRPr="00BD482A" w:rsidRDefault="00BD482A" w:rsidP="00BD482A">
                            <w:pPr>
                              <w:jc w:val="left"/>
                              <w:rPr>
                                <w:b/>
                              </w:rPr>
                            </w:pPr>
                            <w:r w:rsidRPr="00BD482A">
                              <w:rPr>
                                <w:b/>
                                <w:sz w:val="16"/>
                              </w:rPr>
                              <w:t xml:space="preserve">District Assistant:      </w:t>
                            </w:r>
                            <w:r w:rsidRPr="00BD482A">
                              <w:rPr>
                                <w:b/>
                              </w:rPr>
                              <w:tab/>
                            </w:r>
                            <w:r w:rsidRPr="00BD482A">
                              <w:rPr>
                                <w:b/>
                              </w:rPr>
                              <w:tab/>
                            </w:r>
                            <w:r w:rsidRPr="00BD482A">
                              <w:rPr>
                                <w:b/>
                              </w:rPr>
                              <w:tab/>
                            </w:r>
                            <w:r w:rsidRPr="00BD482A">
                              <w:rPr>
                                <w:b/>
                              </w:rPr>
                              <w:tab/>
                            </w:r>
                            <w:r w:rsidRPr="00BD482A">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5pt;margin-top:133.55pt;width:248.2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EvKAIAAE0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">
                <v:textbox>
                  <w:txbxContent>
                    <w:p w:rsidR="00BD482A" w:rsidRPr="00BD482A" w:rsidRDefault="00BD482A" w:rsidP="00BD482A">
                      <w:pPr>
                        <w:jc w:val="left"/>
                        <w:rPr>
                          <w:b/>
                        </w:rPr>
                      </w:pPr>
                      <w:r w:rsidRPr="00BD482A">
                        <w:rPr>
                          <w:b/>
                          <w:sz w:val="16"/>
                        </w:rPr>
                        <w:t xml:space="preserve">District Assistant:      </w:t>
                      </w:r>
                      <w:r w:rsidRPr="00BD482A">
                        <w:rPr>
                          <w:b/>
                        </w:rPr>
                        <w:tab/>
                      </w:r>
                      <w:r w:rsidRPr="00BD482A">
                        <w:rPr>
                          <w:b/>
                        </w:rPr>
                        <w:tab/>
                      </w:r>
                      <w:r w:rsidRPr="00BD482A">
                        <w:rPr>
                          <w:b/>
                        </w:rPr>
                        <w:tab/>
                      </w:r>
                      <w:r w:rsidRPr="00BD482A">
                        <w:rPr>
                          <w:b/>
                        </w:rPr>
                        <w:tab/>
                      </w:r>
                      <w:r w:rsidRPr="00BD482A">
                        <w:rPr>
                          <w:b/>
                        </w:rPr>
                        <w:tab/>
                      </w:r>
                    </w:p>
                  </w:txbxContent>
                </v:textbox>
              </v:shape>
            </w:pict>
          </mc:Fallback>
        </mc:AlternateContent>
      </w:r>
      <w:r w:rsidRPr="00EA092F">
        <w:rPr>
          <w:noProof/>
          <w:lang w:eastAsia="en-GB"/>
        </w:rPr>
        <mc:AlternateContent>
          <mc:Choice Requires="wps">
            <w:drawing>
              <wp:anchor distT="0" distB="0" distL="114300" distR="114300" simplePos="0" relativeHeight="251659264" behindDoc="0" locked="0" layoutInCell="0" allowOverlap="1" wp14:anchorId="71F14A65" wp14:editId="50BFEA5F">
                <wp:simplePos x="0" y="0"/>
                <wp:positionH relativeFrom="page">
                  <wp:posOffset>552450</wp:posOffset>
                </wp:positionH>
                <wp:positionV relativeFrom="page">
                  <wp:posOffset>285750</wp:posOffset>
                </wp:positionV>
                <wp:extent cx="6309995" cy="1473835"/>
                <wp:effectExtent l="38100" t="38100" r="33655" b="3111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4738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03FDD" w:rsidRPr="00266C10" w:rsidRDefault="00E03FDD" w:rsidP="00266C10">
                            <w:pPr>
                              <w:pStyle w:val="Default"/>
                              <w:jc w:val="center"/>
                              <w:rPr>
                                <w:b/>
                                <w:sz w:val="28"/>
                                <w:szCs w:val="28"/>
                              </w:rPr>
                            </w:pPr>
                            <w:r w:rsidRPr="00266C10">
                              <w:rPr>
                                <w:b/>
                                <w:sz w:val="28"/>
                                <w:szCs w:val="28"/>
                              </w:rPr>
                              <w:t>Kent County Council</w:t>
                            </w:r>
                          </w:p>
                          <w:p w:rsidR="006276BD" w:rsidRPr="00BD482A" w:rsidRDefault="006276BD" w:rsidP="00266C10">
                            <w:pPr>
                              <w:pStyle w:val="Default"/>
                              <w:rPr>
                                <w:b/>
                                <w:color w:val="auto"/>
                                <w:sz w:val="22"/>
                              </w:rPr>
                            </w:pPr>
                            <w:r w:rsidRPr="00BD482A">
                              <w:rPr>
                                <w:b/>
                                <w:color w:val="auto"/>
                                <w:sz w:val="22"/>
                              </w:rPr>
                              <w:t>Consent Form For:</w:t>
                            </w:r>
                          </w:p>
                          <w:p w:rsidR="00E03FDD" w:rsidRPr="00BD482A" w:rsidRDefault="00E03FDD" w:rsidP="006276BD">
                            <w:pPr>
                              <w:pStyle w:val="Default"/>
                              <w:numPr>
                                <w:ilvl w:val="0"/>
                                <w:numId w:val="3"/>
                              </w:numPr>
                              <w:rPr>
                                <w:b/>
                                <w:color w:val="auto"/>
                                <w:sz w:val="22"/>
                              </w:rPr>
                            </w:pPr>
                            <w:r w:rsidRPr="00BD482A">
                              <w:rPr>
                                <w:b/>
                                <w:color w:val="auto"/>
                                <w:sz w:val="22"/>
                              </w:rPr>
                              <w:t xml:space="preserve">Special </w:t>
                            </w:r>
                            <w:r w:rsidR="00266C10" w:rsidRPr="00BD482A">
                              <w:rPr>
                                <w:b/>
                                <w:color w:val="auto"/>
                                <w:sz w:val="22"/>
                              </w:rPr>
                              <w:t>E</w:t>
                            </w:r>
                            <w:r w:rsidRPr="00BD482A">
                              <w:rPr>
                                <w:b/>
                                <w:color w:val="auto"/>
                                <w:sz w:val="22"/>
                              </w:rPr>
                              <w:t xml:space="preserve">ducational Needs and Disabilities (SEND) </w:t>
                            </w:r>
                            <w:r w:rsidR="00266C10" w:rsidRPr="00BD482A">
                              <w:rPr>
                                <w:b/>
                                <w:color w:val="auto"/>
                                <w:sz w:val="22"/>
                              </w:rPr>
                              <w:t>Statutory</w:t>
                            </w:r>
                            <w:r w:rsidRPr="00BD482A">
                              <w:rPr>
                                <w:b/>
                                <w:color w:val="auto"/>
                                <w:sz w:val="22"/>
                              </w:rPr>
                              <w:t xml:space="preserve"> Assessment processes and the ongoing monitoring and maintaining of Education, Health and Care (EHC) Plans or Statements of Special Educational Needs (until August 31</w:t>
                            </w:r>
                            <w:r w:rsidRPr="00BD482A">
                              <w:rPr>
                                <w:b/>
                                <w:color w:val="auto"/>
                                <w:sz w:val="22"/>
                                <w:vertAlign w:val="superscript"/>
                              </w:rPr>
                              <w:t>st</w:t>
                            </w:r>
                            <w:r w:rsidRPr="00BD482A">
                              <w:rPr>
                                <w:b/>
                                <w:color w:val="auto"/>
                                <w:sz w:val="22"/>
                              </w:rPr>
                              <w:t xml:space="preserve"> 2018) including Annual Review Processes</w:t>
                            </w:r>
                          </w:p>
                          <w:p w:rsidR="006276BD" w:rsidRPr="00BD482A" w:rsidRDefault="006276BD" w:rsidP="006276BD">
                            <w:pPr>
                              <w:pStyle w:val="Default"/>
                              <w:numPr>
                                <w:ilvl w:val="0"/>
                                <w:numId w:val="3"/>
                              </w:numPr>
                              <w:rPr>
                                <w:b/>
                                <w:color w:val="auto"/>
                                <w:sz w:val="22"/>
                              </w:rPr>
                            </w:pPr>
                            <w:r w:rsidRPr="00BD482A">
                              <w:rPr>
                                <w:b/>
                                <w:color w:val="auto"/>
                                <w:sz w:val="22"/>
                              </w:rPr>
                              <w:t xml:space="preserve">High Needs Funding </w:t>
                            </w:r>
                            <w:r w:rsidR="00914F59" w:rsidRPr="00BD482A">
                              <w:rPr>
                                <w:b/>
                                <w:color w:val="auto"/>
                                <w:sz w:val="22"/>
                              </w:rPr>
                              <w:t xml:space="preserve">and SCARF </w:t>
                            </w:r>
                            <w:r w:rsidRPr="00BD482A">
                              <w:rPr>
                                <w:b/>
                                <w:color w:val="auto"/>
                                <w:sz w:val="22"/>
                              </w:rPr>
                              <w:t>Processes</w:t>
                            </w:r>
                          </w:p>
                          <w:p w:rsidR="00E03FDD" w:rsidRDefault="00E03FDD">
                            <w:pPr>
                              <w:spacing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43.5pt;margin-top:22.5pt;width:496.85pt;height:1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" o:allowincell="f" filled="f" strokecolor="#622423" strokeweight="6pt">
                <v:stroke linestyle="thickThin"/>
                <v:textbox inset="10.8pt,7.2pt,10.8pt,7.2pt">
                  <w:txbxContent>
                    <w:p w:rsidR="00E03FDD" w:rsidRPr="00266C10" w:rsidRDefault="00E03FDD" w:rsidP="00266C10">
                      <w:pPr>
                        <w:pStyle w:val="Default"/>
                        <w:jc w:val="center"/>
                        <w:rPr>
                          <w:b/>
                          <w:sz w:val="28"/>
                          <w:szCs w:val="28"/>
                        </w:rPr>
                      </w:pPr>
                      <w:r w:rsidRPr="00266C10">
                        <w:rPr>
                          <w:b/>
                          <w:sz w:val="28"/>
                          <w:szCs w:val="28"/>
                        </w:rPr>
                        <w:t>Kent County Council</w:t>
                      </w:r>
                    </w:p>
                    <w:p w:rsidR="006276BD" w:rsidRPr="00BD482A" w:rsidRDefault="006276BD" w:rsidP="00266C10">
                      <w:pPr>
                        <w:pStyle w:val="Default"/>
                        <w:rPr>
                          <w:b/>
                          <w:color w:val="auto"/>
                          <w:sz w:val="22"/>
                        </w:rPr>
                      </w:pPr>
                      <w:r w:rsidRPr="00BD482A">
                        <w:rPr>
                          <w:b/>
                          <w:color w:val="auto"/>
                          <w:sz w:val="22"/>
                        </w:rPr>
                        <w:t>Consent Form For:</w:t>
                      </w:r>
                    </w:p>
                    <w:p w:rsidR="00E03FDD" w:rsidRPr="00BD482A" w:rsidRDefault="00E03FDD" w:rsidP="006276BD">
                      <w:pPr>
                        <w:pStyle w:val="Default"/>
                        <w:numPr>
                          <w:ilvl w:val="0"/>
                          <w:numId w:val="3"/>
                        </w:numPr>
                        <w:rPr>
                          <w:b/>
                          <w:color w:val="auto"/>
                          <w:sz w:val="22"/>
                        </w:rPr>
                      </w:pPr>
                      <w:r w:rsidRPr="00BD482A">
                        <w:rPr>
                          <w:b/>
                          <w:color w:val="auto"/>
                          <w:sz w:val="22"/>
                        </w:rPr>
                        <w:t xml:space="preserve">Special </w:t>
                      </w:r>
                      <w:r w:rsidR="00266C10" w:rsidRPr="00BD482A">
                        <w:rPr>
                          <w:b/>
                          <w:color w:val="auto"/>
                          <w:sz w:val="22"/>
                        </w:rPr>
                        <w:t>E</w:t>
                      </w:r>
                      <w:r w:rsidRPr="00BD482A">
                        <w:rPr>
                          <w:b/>
                          <w:color w:val="auto"/>
                          <w:sz w:val="22"/>
                        </w:rPr>
                        <w:t xml:space="preserve">ducational Needs and Disabilities (SEND) </w:t>
                      </w:r>
                      <w:r w:rsidR="00266C10" w:rsidRPr="00BD482A">
                        <w:rPr>
                          <w:b/>
                          <w:color w:val="auto"/>
                          <w:sz w:val="22"/>
                        </w:rPr>
                        <w:t>Statutory</w:t>
                      </w:r>
                      <w:r w:rsidRPr="00BD482A">
                        <w:rPr>
                          <w:b/>
                          <w:color w:val="auto"/>
                          <w:sz w:val="22"/>
                        </w:rPr>
                        <w:t xml:space="preserve"> Assessment processes and the ongoing monitoring and maintaining of Education, Health and Care (EHC) Plans or Statements of Special Educational Needs (until August 31</w:t>
                      </w:r>
                      <w:r w:rsidRPr="00BD482A">
                        <w:rPr>
                          <w:b/>
                          <w:color w:val="auto"/>
                          <w:sz w:val="22"/>
                          <w:vertAlign w:val="superscript"/>
                        </w:rPr>
                        <w:t>st</w:t>
                      </w:r>
                      <w:r w:rsidRPr="00BD482A">
                        <w:rPr>
                          <w:b/>
                          <w:color w:val="auto"/>
                          <w:sz w:val="22"/>
                        </w:rPr>
                        <w:t xml:space="preserve"> 2018) including Annual Review Processes</w:t>
                      </w:r>
                    </w:p>
                    <w:p w:rsidR="006276BD" w:rsidRPr="00BD482A" w:rsidRDefault="006276BD" w:rsidP="006276BD">
                      <w:pPr>
                        <w:pStyle w:val="Default"/>
                        <w:numPr>
                          <w:ilvl w:val="0"/>
                          <w:numId w:val="3"/>
                        </w:numPr>
                        <w:rPr>
                          <w:b/>
                          <w:color w:val="auto"/>
                          <w:sz w:val="22"/>
                        </w:rPr>
                      </w:pPr>
                      <w:r w:rsidRPr="00BD482A">
                        <w:rPr>
                          <w:b/>
                          <w:color w:val="auto"/>
                          <w:sz w:val="22"/>
                        </w:rPr>
                        <w:t xml:space="preserve">High Needs Funding </w:t>
                      </w:r>
                      <w:r w:rsidR="00914F59" w:rsidRPr="00BD482A">
                        <w:rPr>
                          <w:b/>
                          <w:color w:val="auto"/>
                          <w:sz w:val="22"/>
                        </w:rPr>
                        <w:t xml:space="preserve">and SCARF </w:t>
                      </w:r>
                      <w:r w:rsidRPr="00BD482A">
                        <w:rPr>
                          <w:b/>
                          <w:color w:val="auto"/>
                          <w:sz w:val="22"/>
                        </w:rPr>
                        <w:t>Processes</w:t>
                      </w:r>
                    </w:p>
                    <w:p w:rsidR="00E03FDD" w:rsidRDefault="00E03FDD">
                      <w:pPr>
                        <w:spacing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BD482A" w:rsidRPr="00EA092F" w:rsidRDefault="00BD482A" w:rsidP="00CF0F38">
      <w:pPr>
        <w:jc w:val="left"/>
      </w:pPr>
    </w:p>
    <w:p w:rsidR="00B75DE1" w:rsidRPr="00EA092F" w:rsidRDefault="00CF0F38" w:rsidP="00CF0F38">
      <w:pPr>
        <w:jc w:val="left"/>
        <w:rPr>
          <w:b/>
          <w:sz w:val="21"/>
          <w:szCs w:val="21"/>
        </w:rPr>
      </w:pPr>
      <w:r w:rsidRPr="00EA092F">
        <w:rPr>
          <w:b/>
          <w:sz w:val="21"/>
          <w:szCs w:val="21"/>
        </w:rPr>
        <w:t xml:space="preserve">I/ we understand the information </w:t>
      </w:r>
      <w:r w:rsidR="00872573" w:rsidRPr="00EA092F">
        <w:rPr>
          <w:b/>
          <w:sz w:val="21"/>
          <w:szCs w:val="21"/>
        </w:rPr>
        <w:t xml:space="preserve">collected </w:t>
      </w:r>
      <w:r w:rsidRPr="00EA092F">
        <w:rPr>
          <w:b/>
          <w:sz w:val="21"/>
          <w:szCs w:val="21"/>
        </w:rPr>
        <w:t>regarding my/</w:t>
      </w:r>
      <w:r w:rsidR="00CE66BF" w:rsidRPr="00EA092F">
        <w:rPr>
          <w:b/>
          <w:sz w:val="21"/>
          <w:szCs w:val="21"/>
        </w:rPr>
        <w:t>our/</w:t>
      </w:r>
      <w:r w:rsidRPr="00EA092F">
        <w:rPr>
          <w:b/>
          <w:sz w:val="21"/>
          <w:szCs w:val="21"/>
        </w:rPr>
        <w:t xml:space="preserve">child’s </w:t>
      </w:r>
    </w:p>
    <w:p w:rsidR="00CF0F38" w:rsidRPr="00EA092F" w:rsidRDefault="00CF0F38" w:rsidP="00B75DE1">
      <w:pPr>
        <w:pStyle w:val="ListParagraph"/>
        <w:numPr>
          <w:ilvl w:val="0"/>
          <w:numId w:val="4"/>
        </w:numPr>
        <w:jc w:val="left"/>
        <w:rPr>
          <w:sz w:val="21"/>
          <w:szCs w:val="21"/>
        </w:rPr>
      </w:pPr>
      <w:r w:rsidRPr="00EA092F">
        <w:rPr>
          <w:b/>
          <w:sz w:val="21"/>
          <w:szCs w:val="21"/>
        </w:rPr>
        <w:t>Statutory Assessment process</w:t>
      </w:r>
      <w:r w:rsidRPr="00EA092F">
        <w:rPr>
          <w:sz w:val="21"/>
          <w:szCs w:val="21"/>
        </w:rPr>
        <w:t xml:space="preserve"> including that of any ongoing monitoring arrangements such as Annual Review </w:t>
      </w:r>
      <w:r w:rsidR="00CE66BF" w:rsidRPr="00EA092F">
        <w:rPr>
          <w:sz w:val="21"/>
          <w:szCs w:val="21"/>
        </w:rPr>
        <w:t xml:space="preserve">processes should an Education, Health and Care plan be issued, </w:t>
      </w:r>
      <w:r w:rsidRPr="00EA092F">
        <w:rPr>
          <w:sz w:val="21"/>
          <w:szCs w:val="21"/>
        </w:rPr>
        <w:t xml:space="preserve">is recorded and will be used for the purpose of gathering information to inform KCC  decision making </w:t>
      </w:r>
      <w:r w:rsidR="007E3611" w:rsidRPr="00EA092F">
        <w:rPr>
          <w:sz w:val="21"/>
          <w:szCs w:val="21"/>
        </w:rPr>
        <w:t>processes (including any associated decision making process made by a Clinical Commissioning Group or NHS England Area Team)</w:t>
      </w:r>
      <w:r w:rsidR="00872573" w:rsidRPr="00EA092F">
        <w:rPr>
          <w:sz w:val="21"/>
          <w:szCs w:val="21"/>
        </w:rPr>
        <w:t xml:space="preserve"> and the</w:t>
      </w:r>
      <w:r w:rsidRPr="00EA092F">
        <w:rPr>
          <w:sz w:val="21"/>
          <w:szCs w:val="21"/>
        </w:rPr>
        <w:t xml:space="preserve"> planning of provision for children and young people with SEN or disabilities at both individual and strategic levels (including evaluation of service to inform improvement). </w:t>
      </w:r>
    </w:p>
    <w:p w:rsidR="00B75DE1" w:rsidRPr="00EA092F" w:rsidRDefault="00914F59" w:rsidP="00B75DE1">
      <w:pPr>
        <w:pStyle w:val="ListParagraph"/>
        <w:numPr>
          <w:ilvl w:val="0"/>
          <w:numId w:val="4"/>
        </w:numPr>
        <w:jc w:val="left"/>
        <w:rPr>
          <w:sz w:val="21"/>
          <w:szCs w:val="21"/>
        </w:rPr>
      </w:pPr>
      <w:r>
        <w:rPr>
          <w:b/>
          <w:sz w:val="21"/>
          <w:szCs w:val="21"/>
        </w:rPr>
        <w:t>High Needs F</w:t>
      </w:r>
      <w:r w:rsidR="00B75DE1" w:rsidRPr="00EA092F">
        <w:rPr>
          <w:b/>
          <w:sz w:val="21"/>
          <w:szCs w:val="21"/>
        </w:rPr>
        <w:t xml:space="preserve">unding </w:t>
      </w:r>
      <w:r>
        <w:rPr>
          <w:b/>
          <w:sz w:val="21"/>
          <w:szCs w:val="21"/>
        </w:rPr>
        <w:t xml:space="preserve">or SCARF </w:t>
      </w:r>
      <w:r w:rsidR="00B75DE1" w:rsidRPr="00EA092F">
        <w:rPr>
          <w:b/>
          <w:sz w:val="21"/>
          <w:szCs w:val="21"/>
        </w:rPr>
        <w:t xml:space="preserve">process, </w:t>
      </w:r>
      <w:r w:rsidR="00B75DE1" w:rsidRPr="00EA092F">
        <w:rPr>
          <w:sz w:val="21"/>
          <w:szCs w:val="21"/>
        </w:rPr>
        <w:t xml:space="preserve">this will include exchange of information between the educational provider and the LA in relation to the cost of the support  for you or your child in your/their educational setting </w:t>
      </w:r>
    </w:p>
    <w:p w:rsidR="00CF0F38" w:rsidRPr="00EA092F" w:rsidRDefault="00CF0F38" w:rsidP="00CF0F38">
      <w:pPr>
        <w:jc w:val="left"/>
        <w:rPr>
          <w:sz w:val="8"/>
          <w:szCs w:val="8"/>
        </w:rPr>
      </w:pPr>
    </w:p>
    <w:p w:rsidR="00275C17" w:rsidRPr="00EA092F" w:rsidRDefault="00CF0F38" w:rsidP="00B21DA1">
      <w:pPr>
        <w:pStyle w:val="Default"/>
        <w:rPr>
          <w:rFonts w:eastAsia="Calibri" w:cs="Times New Roman"/>
          <w:color w:val="auto"/>
          <w:sz w:val="21"/>
          <w:szCs w:val="21"/>
        </w:rPr>
      </w:pPr>
      <w:r w:rsidRPr="00EA092F">
        <w:rPr>
          <w:rFonts w:eastAsia="Calibri" w:cs="Times New Roman"/>
          <w:color w:val="auto"/>
          <w:sz w:val="21"/>
          <w:szCs w:val="21"/>
        </w:rPr>
        <w:t xml:space="preserve">I/we agree to the sharing of information between </w:t>
      </w:r>
      <w:r w:rsidR="00F94F86" w:rsidRPr="00EA092F">
        <w:rPr>
          <w:rFonts w:eastAsia="Calibri" w:cs="Times New Roman"/>
          <w:color w:val="auto"/>
          <w:sz w:val="21"/>
          <w:szCs w:val="21"/>
        </w:rPr>
        <w:t>all practitioners</w:t>
      </w:r>
      <w:r w:rsidRPr="00EA092F">
        <w:rPr>
          <w:rFonts w:eastAsia="Calibri" w:cs="Times New Roman"/>
          <w:color w:val="auto"/>
          <w:sz w:val="21"/>
          <w:szCs w:val="21"/>
        </w:rPr>
        <w:t xml:space="preserve"> and </w:t>
      </w:r>
      <w:r w:rsidR="00F94F86" w:rsidRPr="00EA092F">
        <w:rPr>
          <w:rFonts w:eastAsia="Calibri" w:cs="Times New Roman"/>
          <w:color w:val="auto"/>
          <w:sz w:val="21"/>
          <w:szCs w:val="21"/>
        </w:rPr>
        <w:t>agencies in</w:t>
      </w:r>
      <w:r w:rsidRPr="00EA092F">
        <w:rPr>
          <w:rFonts w:eastAsia="Calibri" w:cs="Times New Roman"/>
          <w:color w:val="auto"/>
          <w:sz w:val="21"/>
          <w:szCs w:val="21"/>
        </w:rPr>
        <w:t xml:space="preserve"> relation to all aspects of the Statutory Assessment Process and </w:t>
      </w:r>
      <w:r w:rsidR="00F94F86" w:rsidRPr="00EA092F">
        <w:rPr>
          <w:rFonts w:eastAsia="Calibri" w:cs="Times New Roman"/>
          <w:color w:val="auto"/>
          <w:sz w:val="21"/>
          <w:szCs w:val="21"/>
        </w:rPr>
        <w:t>ongoing monitoring</w:t>
      </w:r>
      <w:r w:rsidRPr="00EA092F">
        <w:rPr>
          <w:rFonts w:eastAsia="Calibri" w:cs="Times New Roman"/>
          <w:color w:val="auto"/>
          <w:sz w:val="21"/>
          <w:szCs w:val="21"/>
        </w:rPr>
        <w:t xml:space="preserve"> of E</w:t>
      </w:r>
      <w:r w:rsidR="00A7290D" w:rsidRPr="00EA092F">
        <w:rPr>
          <w:rFonts w:eastAsia="Calibri" w:cs="Times New Roman"/>
          <w:color w:val="auto"/>
          <w:sz w:val="21"/>
          <w:szCs w:val="21"/>
        </w:rPr>
        <w:t>ducation, Health and</w:t>
      </w:r>
      <w:r w:rsidR="00B21DA1" w:rsidRPr="00EA092F">
        <w:rPr>
          <w:rFonts w:eastAsia="Calibri" w:cs="Times New Roman"/>
          <w:color w:val="auto"/>
          <w:sz w:val="21"/>
          <w:szCs w:val="21"/>
        </w:rPr>
        <w:t xml:space="preserve"> </w:t>
      </w:r>
      <w:r w:rsidR="00A7290D" w:rsidRPr="00EA092F">
        <w:rPr>
          <w:rFonts w:eastAsia="Calibri" w:cs="Times New Roman"/>
          <w:color w:val="auto"/>
          <w:sz w:val="21"/>
          <w:szCs w:val="21"/>
        </w:rPr>
        <w:t>Care (E</w:t>
      </w:r>
      <w:r w:rsidRPr="00EA092F">
        <w:rPr>
          <w:rFonts w:eastAsia="Calibri" w:cs="Times New Roman"/>
          <w:color w:val="auto"/>
          <w:sz w:val="21"/>
          <w:szCs w:val="21"/>
        </w:rPr>
        <w:t>HC</w:t>
      </w:r>
      <w:r w:rsidR="00A7290D" w:rsidRPr="00EA092F">
        <w:rPr>
          <w:rFonts w:eastAsia="Calibri" w:cs="Times New Roman"/>
          <w:color w:val="auto"/>
          <w:sz w:val="21"/>
          <w:szCs w:val="21"/>
        </w:rPr>
        <w:t>)</w:t>
      </w:r>
      <w:r w:rsidRPr="00EA092F">
        <w:rPr>
          <w:rFonts w:eastAsia="Calibri" w:cs="Times New Roman"/>
          <w:color w:val="auto"/>
          <w:sz w:val="21"/>
          <w:szCs w:val="21"/>
        </w:rPr>
        <w:t xml:space="preserve"> </w:t>
      </w:r>
      <w:r w:rsidR="00F94F86" w:rsidRPr="00EA092F">
        <w:rPr>
          <w:rFonts w:eastAsia="Calibri" w:cs="Times New Roman"/>
          <w:color w:val="auto"/>
          <w:sz w:val="21"/>
          <w:szCs w:val="21"/>
        </w:rPr>
        <w:t>plans</w:t>
      </w:r>
      <w:r w:rsidR="00111382" w:rsidRPr="00EA092F">
        <w:rPr>
          <w:rFonts w:eastAsia="Calibri" w:cs="Times New Roman"/>
          <w:color w:val="auto"/>
          <w:sz w:val="21"/>
          <w:szCs w:val="21"/>
        </w:rPr>
        <w:t xml:space="preserve"> or Statements of Special Educational Need (SSEN)</w:t>
      </w:r>
      <w:r w:rsidR="00CE66BF" w:rsidRPr="00EA092F">
        <w:rPr>
          <w:rFonts w:eastAsia="Calibri" w:cs="Times New Roman"/>
          <w:color w:val="auto"/>
          <w:sz w:val="21"/>
          <w:szCs w:val="21"/>
        </w:rPr>
        <w:t xml:space="preserve"> if issued</w:t>
      </w:r>
      <w:r w:rsidR="00B75DE1" w:rsidRPr="00EA092F">
        <w:rPr>
          <w:rFonts w:eastAsia="Calibri" w:cs="Times New Roman"/>
          <w:color w:val="auto"/>
          <w:sz w:val="21"/>
          <w:szCs w:val="21"/>
        </w:rPr>
        <w:t xml:space="preserve"> and High Needs Funding </w:t>
      </w:r>
      <w:r w:rsidR="00914F59">
        <w:rPr>
          <w:rFonts w:eastAsia="Calibri" w:cs="Times New Roman"/>
          <w:color w:val="auto"/>
          <w:sz w:val="21"/>
          <w:szCs w:val="21"/>
        </w:rPr>
        <w:t xml:space="preserve">or SCARF </w:t>
      </w:r>
      <w:r w:rsidR="00B75DE1" w:rsidRPr="00EA092F">
        <w:rPr>
          <w:rFonts w:eastAsia="Calibri" w:cs="Times New Roman"/>
          <w:color w:val="auto"/>
          <w:sz w:val="21"/>
          <w:szCs w:val="21"/>
        </w:rPr>
        <w:t>Process</w:t>
      </w:r>
      <w:r w:rsidR="00914F59">
        <w:rPr>
          <w:rFonts w:eastAsia="Calibri" w:cs="Times New Roman"/>
          <w:color w:val="auto"/>
          <w:sz w:val="21"/>
          <w:szCs w:val="21"/>
        </w:rPr>
        <w:t>es</w:t>
      </w:r>
      <w:r w:rsidR="00F94F86" w:rsidRPr="00EA092F">
        <w:rPr>
          <w:rFonts w:eastAsia="Calibri" w:cs="Times New Roman"/>
          <w:color w:val="auto"/>
          <w:sz w:val="21"/>
          <w:szCs w:val="21"/>
        </w:rPr>
        <w:t xml:space="preserve">, </w:t>
      </w:r>
      <w:r w:rsidR="00275C17" w:rsidRPr="00EA092F">
        <w:rPr>
          <w:rFonts w:eastAsia="Calibri" w:cs="Times New Roman"/>
          <w:color w:val="auto"/>
          <w:sz w:val="21"/>
          <w:szCs w:val="21"/>
        </w:rPr>
        <w:t xml:space="preserve">this may include but is not limited to the </w:t>
      </w:r>
      <w:r w:rsidR="00B75DE1" w:rsidRPr="00EA092F">
        <w:rPr>
          <w:rFonts w:eastAsia="Calibri" w:cs="Times New Roman"/>
          <w:color w:val="auto"/>
          <w:sz w:val="21"/>
          <w:szCs w:val="21"/>
        </w:rPr>
        <w:t xml:space="preserve">Education providers, </w:t>
      </w:r>
      <w:r w:rsidR="00275C17" w:rsidRPr="00EA092F">
        <w:rPr>
          <w:rFonts w:eastAsia="Calibri" w:cs="Times New Roman"/>
          <w:color w:val="auto"/>
          <w:sz w:val="21"/>
          <w:szCs w:val="21"/>
        </w:rPr>
        <w:t>Local Authorities educat</w:t>
      </w:r>
      <w:r w:rsidR="00914F59">
        <w:rPr>
          <w:rFonts w:eastAsia="Calibri" w:cs="Times New Roman"/>
          <w:color w:val="auto"/>
          <w:sz w:val="21"/>
          <w:szCs w:val="21"/>
        </w:rPr>
        <w:t xml:space="preserve">ion services including SEN, </w:t>
      </w:r>
      <w:r w:rsidR="00B75DE1" w:rsidRPr="00EA092F">
        <w:rPr>
          <w:rFonts w:eastAsia="Calibri" w:cs="Times New Roman"/>
          <w:color w:val="auto"/>
          <w:sz w:val="21"/>
          <w:szCs w:val="21"/>
        </w:rPr>
        <w:t xml:space="preserve"> </w:t>
      </w:r>
      <w:r w:rsidR="00275C17" w:rsidRPr="00EA092F">
        <w:rPr>
          <w:rFonts w:eastAsia="Calibri" w:cs="Times New Roman"/>
          <w:color w:val="auto"/>
          <w:sz w:val="21"/>
          <w:szCs w:val="21"/>
        </w:rPr>
        <w:t xml:space="preserve">KIASS </w:t>
      </w:r>
      <w:r w:rsidR="00B75DE1" w:rsidRPr="00EA092F">
        <w:rPr>
          <w:rFonts w:eastAsia="Calibri" w:cs="Times New Roman"/>
          <w:color w:val="auto"/>
          <w:sz w:val="21"/>
          <w:szCs w:val="21"/>
        </w:rPr>
        <w:t xml:space="preserve">or Finance </w:t>
      </w:r>
      <w:r w:rsidR="00275C17" w:rsidRPr="00EA092F">
        <w:rPr>
          <w:rFonts w:eastAsia="Calibri" w:cs="Times New Roman"/>
          <w:color w:val="auto"/>
          <w:sz w:val="21"/>
          <w:szCs w:val="21"/>
        </w:rPr>
        <w:t xml:space="preserve">for example,  Children and Adult Social Care services; </w:t>
      </w:r>
      <w:r w:rsidR="006300F2" w:rsidRPr="00EA092F">
        <w:rPr>
          <w:rFonts w:eastAsia="Calibri" w:cs="Times New Roman"/>
          <w:color w:val="auto"/>
          <w:sz w:val="21"/>
          <w:szCs w:val="21"/>
        </w:rPr>
        <w:t>NHS providers, NHS Clinical Commissioni</w:t>
      </w:r>
      <w:r w:rsidR="00CE66BF" w:rsidRPr="00EA092F">
        <w:rPr>
          <w:rFonts w:eastAsia="Calibri" w:cs="Times New Roman"/>
          <w:color w:val="auto"/>
          <w:sz w:val="21"/>
          <w:szCs w:val="21"/>
        </w:rPr>
        <w:t>ng Group, NHS England Area Team</w:t>
      </w:r>
      <w:r w:rsidR="00275C17" w:rsidRPr="00EA092F">
        <w:rPr>
          <w:rFonts w:eastAsia="Calibri" w:cs="Times New Roman"/>
          <w:color w:val="auto"/>
          <w:sz w:val="21"/>
          <w:szCs w:val="21"/>
        </w:rPr>
        <w:t>; Therapists; Teachers; Doctors; Psychologists; YOT;</w:t>
      </w:r>
      <w:r w:rsidR="00CE66BF" w:rsidRPr="00EA092F">
        <w:rPr>
          <w:rFonts w:eastAsia="Calibri" w:cs="Times New Roman"/>
          <w:color w:val="auto"/>
          <w:sz w:val="21"/>
          <w:szCs w:val="21"/>
        </w:rPr>
        <w:t xml:space="preserve"> Social workers; Youth Justice S</w:t>
      </w:r>
      <w:r w:rsidR="00275C17" w:rsidRPr="00EA092F">
        <w:rPr>
          <w:rFonts w:eastAsia="Calibri" w:cs="Times New Roman"/>
          <w:color w:val="auto"/>
          <w:sz w:val="21"/>
          <w:szCs w:val="21"/>
        </w:rPr>
        <w:t xml:space="preserve">ervice and Other Local Authority services </w:t>
      </w:r>
    </w:p>
    <w:p w:rsidR="00F94F86" w:rsidRPr="00EA092F" w:rsidRDefault="00F94F86" w:rsidP="00F94F86">
      <w:pPr>
        <w:jc w:val="left"/>
        <w:rPr>
          <w:sz w:val="8"/>
          <w:szCs w:val="8"/>
        </w:rPr>
      </w:pPr>
    </w:p>
    <w:p w:rsidR="00F94F86" w:rsidRPr="00EA092F" w:rsidRDefault="00F94F86" w:rsidP="00F94F86">
      <w:pPr>
        <w:jc w:val="left"/>
        <w:rPr>
          <w:sz w:val="21"/>
          <w:szCs w:val="21"/>
        </w:rPr>
      </w:pPr>
      <w:r w:rsidRPr="00EA092F">
        <w:rPr>
          <w:sz w:val="21"/>
          <w:szCs w:val="21"/>
        </w:rPr>
        <w:t xml:space="preserve">Please sign your name in the boxes below and make clear whether you are the child, the young person*, a parent or a carer/guardian and date. </w:t>
      </w:r>
    </w:p>
    <w:p w:rsidR="00F94F86" w:rsidRDefault="00F94F86" w:rsidP="00F94F86">
      <w:pPr>
        <w:jc w:val="left"/>
        <w:rPr>
          <w:sz w:val="21"/>
          <w:szCs w:val="21"/>
        </w:rPr>
      </w:pPr>
    </w:p>
    <w:p w:rsidR="006B0DF1" w:rsidRPr="00740D9F" w:rsidRDefault="006B0DF1" w:rsidP="006B0DF1">
      <w:pPr>
        <w:jc w:val="left"/>
        <w:rPr>
          <w:b/>
          <w:sz w:val="21"/>
          <w:szCs w:val="21"/>
        </w:rPr>
      </w:pPr>
      <w:r w:rsidRPr="00740D9F">
        <w:rPr>
          <w:b/>
          <w:sz w:val="21"/>
          <w:szCs w:val="21"/>
        </w:rPr>
        <w:t>Child or Young Person</w:t>
      </w:r>
      <w:r>
        <w:rPr>
          <w:b/>
          <w:sz w:val="21"/>
          <w:szCs w:val="21"/>
        </w:rPr>
        <w:t>’</w:t>
      </w:r>
      <w:r w:rsidRPr="00740D9F">
        <w:rPr>
          <w:b/>
          <w:sz w:val="21"/>
          <w:szCs w:val="21"/>
        </w:rPr>
        <w:t>s Name:………………………………………………………………………</w:t>
      </w:r>
      <w:r>
        <w:rPr>
          <w:b/>
          <w:sz w:val="21"/>
          <w:szCs w:val="21"/>
        </w:rPr>
        <w:t>....</w:t>
      </w:r>
    </w:p>
    <w:p w:rsidR="006B0DF1" w:rsidRPr="00EA092F" w:rsidRDefault="006B0DF1" w:rsidP="00F94F86">
      <w:pPr>
        <w:jc w:val="left"/>
        <w:rPr>
          <w:sz w:val="21"/>
          <w:szCs w:val="21"/>
        </w:rPr>
      </w:pPr>
    </w:p>
    <w:tbl>
      <w:tblPr>
        <w:tblStyle w:val="TableGrid"/>
        <w:tblW w:w="10456" w:type="dxa"/>
        <w:tblLook w:val="04A0" w:firstRow="1" w:lastRow="0" w:firstColumn="1" w:lastColumn="0" w:noHBand="0" w:noVBand="1"/>
      </w:tblPr>
      <w:tblGrid>
        <w:gridCol w:w="5211"/>
        <w:gridCol w:w="2694"/>
        <w:gridCol w:w="2551"/>
      </w:tblGrid>
      <w:tr w:rsidR="00EA092F" w:rsidRPr="00EA092F" w:rsidTr="00F539DE">
        <w:tc>
          <w:tcPr>
            <w:tcW w:w="5211" w:type="dxa"/>
          </w:tcPr>
          <w:p w:rsidR="00F94F86" w:rsidRPr="00EA092F" w:rsidRDefault="00F94F86" w:rsidP="00F94F86">
            <w:pPr>
              <w:rPr>
                <w:b/>
                <w:sz w:val="21"/>
                <w:szCs w:val="21"/>
              </w:rPr>
            </w:pPr>
            <w:r w:rsidRPr="00EA092F">
              <w:rPr>
                <w:b/>
                <w:sz w:val="21"/>
                <w:szCs w:val="21"/>
              </w:rPr>
              <w:t>Name</w:t>
            </w:r>
          </w:p>
        </w:tc>
        <w:tc>
          <w:tcPr>
            <w:tcW w:w="2694" w:type="dxa"/>
          </w:tcPr>
          <w:p w:rsidR="00F94F86" w:rsidRPr="00EA092F" w:rsidRDefault="00F94F86" w:rsidP="00F94F86">
            <w:pPr>
              <w:rPr>
                <w:b/>
                <w:sz w:val="21"/>
                <w:szCs w:val="21"/>
              </w:rPr>
            </w:pPr>
            <w:r w:rsidRPr="00EA092F">
              <w:rPr>
                <w:b/>
                <w:sz w:val="21"/>
                <w:szCs w:val="21"/>
              </w:rPr>
              <w:t>Status (Child/Young Person/parent/ Carer</w:t>
            </w:r>
            <w:r w:rsidR="00111382" w:rsidRPr="00EA092F">
              <w:rPr>
                <w:b/>
                <w:sz w:val="21"/>
                <w:szCs w:val="21"/>
              </w:rPr>
              <w:t>)</w:t>
            </w:r>
          </w:p>
        </w:tc>
        <w:tc>
          <w:tcPr>
            <w:tcW w:w="2551" w:type="dxa"/>
          </w:tcPr>
          <w:p w:rsidR="00F94F86" w:rsidRPr="00EA092F" w:rsidRDefault="00F94F86" w:rsidP="00F94F86">
            <w:pPr>
              <w:rPr>
                <w:b/>
                <w:sz w:val="21"/>
                <w:szCs w:val="21"/>
              </w:rPr>
            </w:pPr>
            <w:r w:rsidRPr="00EA092F">
              <w:rPr>
                <w:b/>
                <w:sz w:val="21"/>
                <w:szCs w:val="21"/>
              </w:rPr>
              <w:t>Date</w:t>
            </w:r>
          </w:p>
        </w:tc>
      </w:tr>
      <w:tr w:rsidR="00EA092F" w:rsidRPr="00EA092F" w:rsidTr="00F539DE">
        <w:tc>
          <w:tcPr>
            <w:tcW w:w="5211" w:type="dxa"/>
          </w:tcPr>
          <w:p w:rsidR="00F94F86" w:rsidRPr="00EA092F" w:rsidRDefault="00B85D1A" w:rsidP="00F94F86">
            <w:pPr>
              <w:jc w:val="left"/>
              <w:rPr>
                <w:sz w:val="21"/>
                <w:szCs w:val="21"/>
              </w:rPr>
            </w:pPr>
            <w:r w:rsidRPr="00EA092F">
              <w:rPr>
                <w:sz w:val="21"/>
                <w:szCs w:val="21"/>
              </w:rPr>
              <w:t>Name:</w:t>
            </w:r>
          </w:p>
        </w:tc>
        <w:tc>
          <w:tcPr>
            <w:tcW w:w="2694" w:type="dxa"/>
          </w:tcPr>
          <w:p w:rsidR="00F94F86" w:rsidRPr="00EA092F" w:rsidRDefault="00F94F86" w:rsidP="00F94F86">
            <w:pPr>
              <w:jc w:val="left"/>
              <w:rPr>
                <w:sz w:val="21"/>
                <w:szCs w:val="21"/>
              </w:rPr>
            </w:pPr>
          </w:p>
        </w:tc>
        <w:tc>
          <w:tcPr>
            <w:tcW w:w="2551" w:type="dxa"/>
          </w:tcPr>
          <w:p w:rsidR="00F94F86" w:rsidRPr="00EA092F" w:rsidRDefault="00F94F86" w:rsidP="00F94F86">
            <w:pPr>
              <w:jc w:val="left"/>
              <w:rPr>
                <w:sz w:val="21"/>
                <w:szCs w:val="21"/>
              </w:rPr>
            </w:pPr>
          </w:p>
        </w:tc>
      </w:tr>
      <w:tr w:rsidR="00EA092F" w:rsidRPr="00EA092F" w:rsidTr="00F539DE">
        <w:tc>
          <w:tcPr>
            <w:tcW w:w="5211" w:type="dxa"/>
          </w:tcPr>
          <w:p w:rsidR="00F94F86" w:rsidRPr="00EA092F" w:rsidRDefault="00B85D1A" w:rsidP="00F94F86">
            <w:pPr>
              <w:jc w:val="left"/>
              <w:rPr>
                <w:sz w:val="21"/>
                <w:szCs w:val="21"/>
              </w:rPr>
            </w:pPr>
            <w:r w:rsidRPr="00EA092F">
              <w:rPr>
                <w:sz w:val="21"/>
                <w:szCs w:val="21"/>
              </w:rPr>
              <w:t>Signature:</w:t>
            </w:r>
          </w:p>
        </w:tc>
        <w:tc>
          <w:tcPr>
            <w:tcW w:w="2694" w:type="dxa"/>
          </w:tcPr>
          <w:p w:rsidR="00F94F86" w:rsidRPr="00EA092F" w:rsidRDefault="00F94F86" w:rsidP="00F94F86">
            <w:pPr>
              <w:jc w:val="left"/>
              <w:rPr>
                <w:sz w:val="21"/>
                <w:szCs w:val="21"/>
              </w:rPr>
            </w:pPr>
          </w:p>
        </w:tc>
        <w:tc>
          <w:tcPr>
            <w:tcW w:w="2551" w:type="dxa"/>
          </w:tcPr>
          <w:p w:rsidR="00F94F86" w:rsidRPr="00EA092F" w:rsidRDefault="00F94F86" w:rsidP="00F94F86">
            <w:pPr>
              <w:jc w:val="left"/>
              <w:rPr>
                <w:sz w:val="21"/>
                <w:szCs w:val="21"/>
              </w:rPr>
            </w:pPr>
          </w:p>
        </w:tc>
      </w:tr>
      <w:tr w:rsidR="00EA092F" w:rsidRPr="00EA092F" w:rsidTr="00F539DE">
        <w:tc>
          <w:tcPr>
            <w:tcW w:w="5211" w:type="dxa"/>
          </w:tcPr>
          <w:p w:rsidR="00B85D1A" w:rsidRPr="00EA092F" w:rsidRDefault="00B85D1A" w:rsidP="00F94F86">
            <w:pPr>
              <w:jc w:val="left"/>
              <w:rPr>
                <w:sz w:val="21"/>
                <w:szCs w:val="21"/>
              </w:rPr>
            </w:pPr>
            <w:r w:rsidRPr="00EA092F">
              <w:rPr>
                <w:sz w:val="21"/>
                <w:szCs w:val="21"/>
              </w:rPr>
              <w:t>Name:</w:t>
            </w:r>
          </w:p>
        </w:tc>
        <w:tc>
          <w:tcPr>
            <w:tcW w:w="2694" w:type="dxa"/>
          </w:tcPr>
          <w:p w:rsidR="00B85D1A" w:rsidRPr="00EA092F" w:rsidRDefault="00B85D1A" w:rsidP="00F94F86">
            <w:pPr>
              <w:jc w:val="left"/>
              <w:rPr>
                <w:sz w:val="21"/>
                <w:szCs w:val="21"/>
              </w:rPr>
            </w:pPr>
          </w:p>
        </w:tc>
        <w:tc>
          <w:tcPr>
            <w:tcW w:w="2551" w:type="dxa"/>
          </w:tcPr>
          <w:p w:rsidR="00B85D1A" w:rsidRPr="00EA092F" w:rsidRDefault="00B85D1A" w:rsidP="00F94F86">
            <w:pPr>
              <w:jc w:val="left"/>
              <w:rPr>
                <w:sz w:val="21"/>
                <w:szCs w:val="21"/>
              </w:rPr>
            </w:pPr>
          </w:p>
        </w:tc>
      </w:tr>
      <w:tr w:rsidR="00EA092F" w:rsidRPr="00EA092F" w:rsidTr="00F539DE">
        <w:tc>
          <w:tcPr>
            <w:tcW w:w="5211" w:type="dxa"/>
          </w:tcPr>
          <w:p w:rsidR="00B85D1A" w:rsidRPr="00EA092F" w:rsidRDefault="00B85D1A" w:rsidP="00847E9A">
            <w:pPr>
              <w:jc w:val="left"/>
              <w:rPr>
                <w:sz w:val="21"/>
                <w:szCs w:val="21"/>
              </w:rPr>
            </w:pPr>
            <w:r w:rsidRPr="00EA092F">
              <w:rPr>
                <w:sz w:val="21"/>
                <w:szCs w:val="21"/>
              </w:rPr>
              <w:t>Signature:</w:t>
            </w:r>
          </w:p>
        </w:tc>
        <w:tc>
          <w:tcPr>
            <w:tcW w:w="2694" w:type="dxa"/>
          </w:tcPr>
          <w:p w:rsidR="00B85D1A" w:rsidRPr="00EA092F" w:rsidRDefault="00B85D1A" w:rsidP="00847E9A">
            <w:pPr>
              <w:jc w:val="left"/>
              <w:rPr>
                <w:sz w:val="21"/>
                <w:szCs w:val="21"/>
              </w:rPr>
            </w:pPr>
          </w:p>
        </w:tc>
        <w:tc>
          <w:tcPr>
            <w:tcW w:w="2551" w:type="dxa"/>
          </w:tcPr>
          <w:p w:rsidR="00B85D1A" w:rsidRPr="00EA092F" w:rsidRDefault="00B85D1A" w:rsidP="00847E9A">
            <w:pPr>
              <w:jc w:val="left"/>
              <w:rPr>
                <w:sz w:val="21"/>
                <w:szCs w:val="21"/>
              </w:rPr>
            </w:pPr>
          </w:p>
        </w:tc>
      </w:tr>
      <w:tr w:rsidR="00EA092F" w:rsidRPr="00EA092F" w:rsidTr="00F539DE">
        <w:tc>
          <w:tcPr>
            <w:tcW w:w="5211" w:type="dxa"/>
          </w:tcPr>
          <w:p w:rsidR="00B85D1A" w:rsidRPr="00EA092F" w:rsidRDefault="00B85D1A" w:rsidP="00847E9A">
            <w:pPr>
              <w:jc w:val="left"/>
              <w:rPr>
                <w:sz w:val="21"/>
                <w:szCs w:val="21"/>
              </w:rPr>
            </w:pPr>
            <w:r w:rsidRPr="00EA092F">
              <w:rPr>
                <w:sz w:val="21"/>
                <w:szCs w:val="21"/>
              </w:rPr>
              <w:t>Name:</w:t>
            </w:r>
          </w:p>
        </w:tc>
        <w:tc>
          <w:tcPr>
            <w:tcW w:w="2694" w:type="dxa"/>
          </w:tcPr>
          <w:p w:rsidR="00B85D1A" w:rsidRPr="00EA092F" w:rsidRDefault="00B85D1A" w:rsidP="00847E9A">
            <w:pPr>
              <w:jc w:val="left"/>
              <w:rPr>
                <w:sz w:val="21"/>
                <w:szCs w:val="21"/>
              </w:rPr>
            </w:pPr>
          </w:p>
        </w:tc>
        <w:tc>
          <w:tcPr>
            <w:tcW w:w="2551" w:type="dxa"/>
          </w:tcPr>
          <w:p w:rsidR="00B85D1A" w:rsidRPr="00EA092F" w:rsidRDefault="00B85D1A" w:rsidP="00847E9A">
            <w:pPr>
              <w:jc w:val="left"/>
              <w:rPr>
                <w:sz w:val="21"/>
                <w:szCs w:val="21"/>
              </w:rPr>
            </w:pPr>
          </w:p>
        </w:tc>
      </w:tr>
      <w:tr w:rsidR="00EA092F" w:rsidRPr="00EA092F" w:rsidTr="00F539DE">
        <w:tc>
          <w:tcPr>
            <w:tcW w:w="5211" w:type="dxa"/>
          </w:tcPr>
          <w:p w:rsidR="00B85D1A" w:rsidRPr="00EA092F" w:rsidRDefault="00B85D1A" w:rsidP="00847E9A">
            <w:pPr>
              <w:jc w:val="left"/>
              <w:rPr>
                <w:sz w:val="21"/>
                <w:szCs w:val="21"/>
              </w:rPr>
            </w:pPr>
            <w:r w:rsidRPr="00EA092F">
              <w:rPr>
                <w:sz w:val="21"/>
                <w:szCs w:val="21"/>
              </w:rPr>
              <w:t>Signature:</w:t>
            </w:r>
          </w:p>
        </w:tc>
        <w:tc>
          <w:tcPr>
            <w:tcW w:w="2694" w:type="dxa"/>
          </w:tcPr>
          <w:p w:rsidR="00B85D1A" w:rsidRPr="00EA092F" w:rsidRDefault="00B85D1A" w:rsidP="00847E9A">
            <w:pPr>
              <w:jc w:val="left"/>
              <w:rPr>
                <w:sz w:val="21"/>
                <w:szCs w:val="21"/>
              </w:rPr>
            </w:pPr>
          </w:p>
        </w:tc>
        <w:tc>
          <w:tcPr>
            <w:tcW w:w="2551" w:type="dxa"/>
          </w:tcPr>
          <w:p w:rsidR="00B85D1A" w:rsidRPr="00EA092F" w:rsidRDefault="00B85D1A" w:rsidP="00847E9A">
            <w:pPr>
              <w:jc w:val="left"/>
              <w:rPr>
                <w:sz w:val="21"/>
                <w:szCs w:val="21"/>
              </w:rPr>
            </w:pPr>
          </w:p>
        </w:tc>
      </w:tr>
    </w:tbl>
    <w:p w:rsidR="00F539DE" w:rsidRPr="00EA092F" w:rsidRDefault="00F539DE" w:rsidP="00F94F86">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523"/>
      </w:tblGrid>
      <w:tr w:rsidR="00EA092F" w:rsidRPr="00EA092F" w:rsidTr="006B0DF1">
        <w:trPr>
          <w:trHeight w:val="551"/>
        </w:trPr>
        <w:tc>
          <w:tcPr>
            <w:tcW w:w="8897" w:type="dxa"/>
            <w:tcBorders>
              <w:right w:val="single" w:sz="4" w:space="0" w:color="auto"/>
            </w:tcBorders>
          </w:tcPr>
          <w:p w:rsidR="00F539DE" w:rsidRPr="00EA092F" w:rsidRDefault="00F539DE" w:rsidP="00F539DE">
            <w:pPr>
              <w:jc w:val="left"/>
              <w:rPr>
                <w:sz w:val="21"/>
                <w:szCs w:val="21"/>
              </w:rPr>
            </w:pPr>
            <w:r w:rsidRPr="00EA092F">
              <w:rPr>
                <w:sz w:val="21"/>
                <w:szCs w:val="21"/>
              </w:rPr>
              <w:t xml:space="preserve">If you are a young person please tick the box if you </w:t>
            </w:r>
          </w:p>
          <w:p w:rsidR="00F539DE" w:rsidRPr="00EA092F" w:rsidRDefault="00F539DE" w:rsidP="006B0DF1">
            <w:pPr>
              <w:jc w:val="left"/>
              <w:rPr>
                <w:sz w:val="21"/>
                <w:szCs w:val="21"/>
              </w:rPr>
            </w:pPr>
            <w:r w:rsidRPr="00EA092F">
              <w:rPr>
                <w:sz w:val="21"/>
                <w:szCs w:val="21"/>
              </w:rPr>
              <w:t xml:space="preserve">agree for the LA to share information with your parents/carers </w:t>
            </w:r>
          </w:p>
        </w:tc>
        <w:tc>
          <w:tcPr>
            <w:tcW w:w="1523" w:type="dxa"/>
            <w:tcBorders>
              <w:top w:val="single" w:sz="4" w:space="0" w:color="auto"/>
              <w:left w:val="single" w:sz="4" w:space="0" w:color="auto"/>
              <w:bottom w:val="single" w:sz="4" w:space="0" w:color="auto"/>
              <w:right w:val="single" w:sz="4" w:space="0" w:color="auto"/>
            </w:tcBorders>
          </w:tcPr>
          <w:p w:rsidR="00F539DE" w:rsidRPr="00EA092F" w:rsidRDefault="00F539DE" w:rsidP="00F94F86">
            <w:pPr>
              <w:jc w:val="left"/>
              <w:rPr>
                <w:sz w:val="21"/>
                <w:szCs w:val="21"/>
              </w:rPr>
            </w:pPr>
          </w:p>
        </w:tc>
      </w:tr>
    </w:tbl>
    <w:p w:rsidR="006B0DF1" w:rsidRPr="006B0DF1" w:rsidRDefault="006B0DF1" w:rsidP="00CF0F38">
      <w:pPr>
        <w:jc w:val="left"/>
        <w:rPr>
          <w:sz w:val="8"/>
          <w:szCs w:val="8"/>
        </w:rPr>
      </w:pPr>
    </w:p>
    <w:p w:rsidR="00CF0F38" w:rsidRPr="00EA092F" w:rsidRDefault="00CE66BF" w:rsidP="00CF0F38">
      <w:pPr>
        <w:jc w:val="left"/>
        <w:rPr>
          <w:sz w:val="21"/>
          <w:szCs w:val="21"/>
        </w:rPr>
      </w:pPr>
      <w:r w:rsidRPr="00EA092F">
        <w:rPr>
          <w:sz w:val="21"/>
          <w:szCs w:val="21"/>
        </w:rPr>
        <w:t>The Special</w:t>
      </w:r>
      <w:r w:rsidR="00266C10" w:rsidRPr="00EA092F">
        <w:rPr>
          <w:sz w:val="21"/>
          <w:szCs w:val="21"/>
        </w:rPr>
        <w:t xml:space="preserve"> Educational Needs and Disability Regulations 2014 make clear under regulation 6 that the Local Authority has a Statutory Duty to seek advice and information from all persons specified. The Local Authority </w:t>
      </w:r>
      <w:r w:rsidR="00266C10" w:rsidRPr="00EA092F">
        <w:rPr>
          <w:b/>
          <w:sz w:val="21"/>
          <w:szCs w:val="21"/>
          <w:u w:val="single"/>
        </w:rPr>
        <w:t>must</w:t>
      </w:r>
      <w:r w:rsidR="00266C10" w:rsidRPr="00EA092F">
        <w:rPr>
          <w:sz w:val="21"/>
          <w:szCs w:val="21"/>
        </w:rPr>
        <w:t xml:space="preserve"> do this. Only in exceptional circumstances where the safety of the young person or child is at risk will the Local Authority </w:t>
      </w:r>
      <w:r w:rsidR="00266C10" w:rsidRPr="00EA092F">
        <w:rPr>
          <w:b/>
          <w:sz w:val="21"/>
          <w:szCs w:val="21"/>
          <w:u w:val="single"/>
        </w:rPr>
        <w:t>not</w:t>
      </w:r>
      <w:r w:rsidR="00266C10" w:rsidRPr="00EA092F">
        <w:rPr>
          <w:sz w:val="21"/>
          <w:szCs w:val="21"/>
        </w:rPr>
        <w:t xml:space="preserve"> consult. </w:t>
      </w:r>
      <w:r w:rsidR="00F94F86" w:rsidRPr="00EA092F">
        <w:rPr>
          <w:sz w:val="21"/>
          <w:szCs w:val="21"/>
        </w:rPr>
        <w:t xml:space="preserve">Please tell us of any </w:t>
      </w:r>
      <w:r w:rsidR="00853DA4" w:rsidRPr="00EA092F">
        <w:rPr>
          <w:sz w:val="21"/>
          <w:szCs w:val="21"/>
        </w:rPr>
        <w:t>individuals or a</w:t>
      </w:r>
      <w:r w:rsidR="00F94F86" w:rsidRPr="00EA092F">
        <w:rPr>
          <w:sz w:val="21"/>
          <w:szCs w:val="21"/>
        </w:rPr>
        <w:t xml:space="preserve">gencies </w:t>
      </w:r>
      <w:r w:rsidR="00266C10" w:rsidRPr="00EA092F">
        <w:rPr>
          <w:sz w:val="21"/>
          <w:szCs w:val="21"/>
        </w:rPr>
        <w:t xml:space="preserve">we cannot consult with </w:t>
      </w:r>
      <w:r w:rsidR="00B21DA1" w:rsidRPr="00EA092F">
        <w:rPr>
          <w:sz w:val="21"/>
          <w:szCs w:val="21"/>
        </w:rPr>
        <w:t xml:space="preserve">where </w:t>
      </w:r>
      <w:r w:rsidR="00266C10" w:rsidRPr="00EA092F">
        <w:rPr>
          <w:sz w:val="21"/>
          <w:szCs w:val="21"/>
        </w:rPr>
        <w:t>to do so would put the safety of the young person or child at risk. Please</w:t>
      </w:r>
      <w:r w:rsidR="00F94F86" w:rsidRPr="00EA092F">
        <w:rPr>
          <w:sz w:val="21"/>
          <w:szCs w:val="21"/>
        </w:rPr>
        <w:t xml:space="preserve"> give reasons why</w:t>
      </w:r>
      <w:r w:rsidR="00266C10" w:rsidRPr="00EA092F">
        <w:rPr>
          <w:sz w:val="21"/>
          <w:szCs w:val="21"/>
        </w:rPr>
        <w:t>. The Local Authority will need evidence to support this</w:t>
      </w:r>
      <w:r w:rsidR="00F94F86" w:rsidRPr="00EA092F">
        <w:rPr>
          <w:sz w:val="21"/>
          <w:szCs w:val="21"/>
        </w:rPr>
        <w:t xml:space="preserve">. </w:t>
      </w:r>
    </w:p>
    <w:p w:rsidR="00F94F86" w:rsidRPr="00EA092F" w:rsidRDefault="00F94F86" w:rsidP="00CF0F38">
      <w:pPr>
        <w:jc w:val="left"/>
        <w:rPr>
          <w:sz w:val="21"/>
          <w:szCs w:val="21"/>
        </w:rPr>
      </w:pPr>
    </w:p>
    <w:tbl>
      <w:tblPr>
        <w:tblStyle w:val="TableGrid"/>
        <w:tblW w:w="0" w:type="auto"/>
        <w:tblLook w:val="04A0" w:firstRow="1" w:lastRow="0" w:firstColumn="1" w:lastColumn="0" w:noHBand="0" w:noVBand="1"/>
      </w:tblPr>
      <w:tblGrid>
        <w:gridCol w:w="4077"/>
        <w:gridCol w:w="6379"/>
      </w:tblGrid>
      <w:tr w:rsidR="00EA092F" w:rsidRPr="00EA092F" w:rsidTr="006B0DF1">
        <w:tc>
          <w:tcPr>
            <w:tcW w:w="4077" w:type="dxa"/>
          </w:tcPr>
          <w:p w:rsidR="00F94F86" w:rsidRPr="00EA092F" w:rsidRDefault="00F94F86" w:rsidP="00847E9A">
            <w:pPr>
              <w:rPr>
                <w:b/>
                <w:sz w:val="21"/>
                <w:szCs w:val="21"/>
              </w:rPr>
            </w:pPr>
            <w:r w:rsidRPr="00EA092F">
              <w:rPr>
                <w:b/>
                <w:sz w:val="21"/>
                <w:szCs w:val="21"/>
              </w:rPr>
              <w:t>Name of agency</w:t>
            </w:r>
            <w:r w:rsidR="00853DA4" w:rsidRPr="00EA092F">
              <w:rPr>
                <w:b/>
                <w:sz w:val="21"/>
                <w:szCs w:val="21"/>
              </w:rPr>
              <w:t xml:space="preserve"> individual or agency </w:t>
            </w:r>
          </w:p>
        </w:tc>
        <w:tc>
          <w:tcPr>
            <w:tcW w:w="6379" w:type="dxa"/>
          </w:tcPr>
          <w:p w:rsidR="00F94F86" w:rsidRPr="00EA092F" w:rsidRDefault="00853DA4" w:rsidP="00847E9A">
            <w:pPr>
              <w:rPr>
                <w:b/>
                <w:sz w:val="21"/>
                <w:szCs w:val="21"/>
              </w:rPr>
            </w:pPr>
            <w:r w:rsidRPr="00EA092F">
              <w:rPr>
                <w:b/>
                <w:sz w:val="21"/>
                <w:szCs w:val="21"/>
              </w:rPr>
              <w:t xml:space="preserve">Reasons </w:t>
            </w:r>
          </w:p>
        </w:tc>
      </w:tr>
      <w:tr w:rsidR="00EA092F" w:rsidRPr="00EA092F" w:rsidTr="006B0DF1">
        <w:tc>
          <w:tcPr>
            <w:tcW w:w="4077" w:type="dxa"/>
          </w:tcPr>
          <w:p w:rsidR="00F94F86" w:rsidRPr="00EA092F" w:rsidRDefault="00F94F86" w:rsidP="00847E9A">
            <w:pPr>
              <w:jc w:val="left"/>
              <w:rPr>
                <w:sz w:val="21"/>
                <w:szCs w:val="21"/>
              </w:rPr>
            </w:pPr>
          </w:p>
        </w:tc>
        <w:tc>
          <w:tcPr>
            <w:tcW w:w="6379" w:type="dxa"/>
          </w:tcPr>
          <w:p w:rsidR="00F94F86" w:rsidRPr="00EA092F" w:rsidRDefault="00F94F86" w:rsidP="00847E9A">
            <w:pPr>
              <w:jc w:val="left"/>
              <w:rPr>
                <w:sz w:val="21"/>
                <w:szCs w:val="21"/>
              </w:rPr>
            </w:pPr>
          </w:p>
        </w:tc>
      </w:tr>
      <w:tr w:rsidR="00EA092F" w:rsidRPr="00EA092F" w:rsidTr="006B0DF1">
        <w:tc>
          <w:tcPr>
            <w:tcW w:w="4077" w:type="dxa"/>
          </w:tcPr>
          <w:p w:rsidR="00F94F86" w:rsidRPr="00EA092F" w:rsidRDefault="00F94F86" w:rsidP="00847E9A">
            <w:pPr>
              <w:jc w:val="left"/>
              <w:rPr>
                <w:sz w:val="21"/>
                <w:szCs w:val="21"/>
              </w:rPr>
            </w:pPr>
          </w:p>
        </w:tc>
        <w:tc>
          <w:tcPr>
            <w:tcW w:w="6379" w:type="dxa"/>
          </w:tcPr>
          <w:p w:rsidR="00F94F86" w:rsidRPr="00EA092F" w:rsidRDefault="00F94F86" w:rsidP="00847E9A">
            <w:pPr>
              <w:jc w:val="left"/>
              <w:rPr>
                <w:sz w:val="21"/>
                <w:szCs w:val="21"/>
              </w:rPr>
            </w:pPr>
          </w:p>
        </w:tc>
      </w:tr>
      <w:tr w:rsidR="00EA092F" w:rsidRPr="00EA092F" w:rsidTr="006B0DF1">
        <w:tc>
          <w:tcPr>
            <w:tcW w:w="4077" w:type="dxa"/>
          </w:tcPr>
          <w:p w:rsidR="00F94F86" w:rsidRPr="00EA092F" w:rsidRDefault="00F94F86" w:rsidP="00847E9A">
            <w:pPr>
              <w:jc w:val="left"/>
              <w:rPr>
                <w:sz w:val="21"/>
                <w:szCs w:val="21"/>
              </w:rPr>
            </w:pPr>
          </w:p>
        </w:tc>
        <w:tc>
          <w:tcPr>
            <w:tcW w:w="6379" w:type="dxa"/>
          </w:tcPr>
          <w:p w:rsidR="00F94F86" w:rsidRPr="00EA092F" w:rsidRDefault="00F94F86" w:rsidP="00847E9A">
            <w:pPr>
              <w:jc w:val="left"/>
              <w:rPr>
                <w:sz w:val="21"/>
                <w:szCs w:val="21"/>
              </w:rPr>
            </w:pPr>
          </w:p>
        </w:tc>
      </w:tr>
      <w:tr w:rsidR="00EA092F" w:rsidRPr="00EA092F" w:rsidTr="006B0DF1">
        <w:tc>
          <w:tcPr>
            <w:tcW w:w="4077" w:type="dxa"/>
          </w:tcPr>
          <w:p w:rsidR="00F94F86" w:rsidRPr="00EA092F" w:rsidRDefault="00F94F86" w:rsidP="00847E9A">
            <w:pPr>
              <w:jc w:val="left"/>
              <w:rPr>
                <w:sz w:val="21"/>
                <w:szCs w:val="21"/>
              </w:rPr>
            </w:pPr>
          </w:p>
        </w:tc>
        <w:tc>
          <w:tcPr>
            <w:tcW w:w="6379" w:type="dxa"/>
          </w:tcPr>
          <w:p w:rsidR="00F94F86" w:rsidRPr="00EA092F" w:rsidRDefault="00F94F86" w:rsidP="00847E9A">
            <w:pPr>
              <w:jc w:val="left"/>
              <w:rPr>
                <w:sz w:val="21"/>
                <w:szCs w:val="21"/>
              </w:rPr>
            </w:pPr>
          </w:p>
        </w:tc>
      </w:tr>
    </w:tbl>
    <w:p w:rsidR="00B75DE1" w:rsidRPr="00EA092F" w:rsidRDefault="00B75DE1" w:rsidP="00F94F86">
      <w:pPr>
        <w:pStyle w:val="Default"/>
        <w:rPr>
          <w:i/>
          <w:color w:val="auto"/>
          <w:sz w:val="12"/>
          <w:szCs w:val="12"/>
        </w:rPr>
      </w:pPr>
    </w:p>
    <w:p w:rsidR="00F94F86" w:rsidRPr="00BD482A" w:rsidRDefault="00F94F86" w:rsidP="00F94F86">
      <w:pPr>
        <w:pStyle w:val="Default"/>
        <w:rPr>
          <w:i/>
          <w:color w:val="auto"/>
          <w:sz w:val="16"/>
          <w:szCs w:val="16"/>
        </w:rPr>
      </w:pPr>
      <w:r w:rsidRPr="00BD482A">
        <w:rPr>
          <w:i/>
          <w:color w:val="auto"/>
          <w:sz w:val="16"/>
          <w:szCs w:val="16"/>
        </w:rPr>
        <w:t xml:space="preserve">*The SEN Code of Practice provides statutory guidance on duties, policies and procedures relating to Part 3 of the Children and Families Act 2014 and associated regulations and applies to England. It relates to children and young people with special educational needs (SEN) and disabled children and young people. A ‘young person’ in this context is a person over compulsory school age and under 25. Compulsory school age ends on the last Friday of June in the academic year in which they become 16. For ease of reference, young people are referred to in </w:t>
      </w:r>
      <w:r w:rsidR="00111382" w:rsidRPr="00BD482A">
        <w:rPr>
          <w:i/>
          <w:color w:val="auto"/>
          <w:sz w:val="16"/>
          <w:szCs w:val="16"/>
        </w:rPr>
        <w:t xml:space="preserve">the </w:t>
      </w:r>
      <w:r w:rsidRPr="00BD482A">
        <w:rPr>
          <w:i/>
          <w:color w:val="auto"/>
          <w:sz w:val="16"/>
          <w:szCs w:val="16"/>
        </w:rPr>
        <w:t xml:space="preserve">Code of Practice as ‘over 16’. </w:t>
      </w:r>
    </w:p>
    <w:sectPr w:rsidR="00F94F86" w:rsidRPr="00BD482A" w:rsidSect="006B0DF1">
      <w:footerReference w:type="default" r:id="rId9"/>
      <w:pgSz w:w="11906" w:h="16838"/>
      <w:pgMar w:top="284" w:right="680" w:bottom="28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CC" w:rsidRDefault="00E664CC" w:rsidP="00F94F86">
      <w:r>
        <w:separator/>
      </w:r>
    </w:p>
  </w:endnote>
  <w:endnote w:type="continuationSeparator" w:id="0">
    <w:p w:rsidR="00E664CC" w:rsidRDefault="00E664CC" w:rsidP="00F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10" w:rsidRPr="00266C10" w:rsidRDefault="00266C10" w:rsidP="00266C10">
    <w:pPr>
      <w:pStyle w:val="Footer"/>
      <w:jc w:val="left"/>
      <w:rPr>
        <w:sz w:val="20"/>
        <w:szCs w:val="20"/>
      </w:rPr>
    </w:pPr>
    <w:r w:rsidRPr="00266C10">
      <w:rPr>
        <w:sz w:val="20"/>
        <w:szCs w:val="20"/>
      </w:rPr>
      <w:t xml:space="preserve">SEND Consent Form </w:t>
    </w:r>
    <w:r w:rsidR="00914F59">
      <w:rPr>
        <w:sz w:val="20"/>
        <w:szCs w:val="20"/>
      </w:rPr>
      <w:t xml:space="preserve">November </w:t>
    </w:r>
    <w:r w:rsidRPr="00266C10">
      <w:rPr>
        <w:sz w:val="20"/>
        <w:szCs w:val="20"/>
      </w:rPr>
      <w:t xml:space="preserv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CC" w:rsidRDefault="00E664CC" w:rsidP="00F94F86">
      <w:r>
        <w:separator/>
      </w:r>
    </w:p>
  </w:footnote>
  <w:footnote w:type="continuationSeparator" w:id="0">
    <w:p w:rsidR="00E664CC" w:rsidRDefault="00E664CC" w:rsidP="00F94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4A5"/>
    <w:multiLevelType w:val="hybridMultilevel"/>
    <w:tmpl w:val="189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923DC"/>
    <w:multiLevelType w:val="hybridMultilevel"/>
    <w:tmpl w:val="B9384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9A2337"/>
    <w:multiLevelType w:val="hybridMultilevel"/>
    <w:tmpl w:val="5934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A411C"/>
    <w:multiLevelType w:val="hybridMultilevel"/>
    <w:tmpl w:val="102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8"/>
    <w:rsid w:val="000C0412"/>
    <w:rsid w:val="00111382"/>
    <w:rsid w:val="00266C10"/>
    <w:rsid w:val="00275C17"/>
    <w:rsid w:val="00600A2E"/>
    <w:rsid w:val="006276BD"/>
    <w:rsid w:val="006300F2"/>
    <w:rsid w:val="00656221"/>
    <w:rsid w:val="006B0DF1"/>
    <w:rsid w:val="00716202"/>
    <w:rsid w:val="007245C9"/>
    <w:rsid w:val="007365BF"/>
    <w:rsid w:val="007E3611"/>
    <w:rsid w:val="00806ED5"/>
    <w:rsid w:val="00853DA4"/>
    <w:rsid w:val="00872573"/>
    <w:rsid w:val="00914F59"/>
    <w:rsid w:val="00953290"/>
    <w:rsid w:val="0096319A"/>
    <w:rsid w:val="00A26BC4"/>
    <w:rsid w:val="00A7290D"/>
    <w:rsid w:val="00B21DA1"/>
    <w:rsid w:val="00B631E8"/>
    <w:rsid w:val="00B75DE1"/>
    <w:rsid w:val="00B85D1A"/>
    <w:rsid w:val="00BD482A"/>
    <w:rsid w:val="00BF4A47"/>
    <w:rsid w:val="00CB2A72"/>
    <w:rsid w:val="00CE66BF"/>
    <w:rsid w:val="00CF0F38"/>
    <w:rsid w:val="00DD1A6F"/>
    <w:rsid w:val="00E03FDD"/>
    <w:rsid w:val="00E664CC"/>
    <w:rsid w:val="00EA092F"/>
    <w:rsid w:val="00EE57B9"/>
    <w:rsid w:val="00F539DE"/>
    <w:rsid w:val="00F94F86"/>
    <w:rsid w:val="00FC0058"/>
    <w:rsid w:val="00FC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38"/>
    <w:pPr>
      <w:spacing w:after="0" w:line="240" w:lineRule="auto"/>
      <w:jc w:val="center"/>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94F86"/>
    <w:pPr>
      <w:ind w:left="720"/>
      <w:contextualSpacing/>
    </w:pPr>
  </w:style>
  <w:style w:type="table" w:styleId="TableGrid">
    <w:name w:val="Table Grid"/>
    <w:basedOn w:val="TableNormal"/>
    <w:uiPriority w:val="59"/>
    <w:rsid w:val="00F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F86"/>
    <w:pPr>
      <w:tabs>
        <w:tab w:val="center" w:pos="4513"/>
        <w:tab w:val="right" w:pos="9026"/>
      </w:tabs>
    </w:pPr>
  </w:style>
  <w:style w:type="character" w:customStyle="1" w:styleId="HeaderChar">
    <w:name w:val="Header Char"/>
    <w:basedOn w:val="DefaultParagraphFont"/>
    <w:link w:val="Header"/>
    <w:uiPriority w:val="99"/>
    <w:rsid w:val="00F94F86"/>
    <w:rPr>
      <w:rFonts w:ascii="Arial" w:eastAsia="Calibri" w:hAnsi="Arial" w:cs="Times New Roman"/>
      <w:sz w:val="24"/>
    </w:rPr>
  </w:style>
  <w:style w:type="paragraph" w:styleId="Footer">
    <w:name w:val="footer"/>
    <w:basedOn w:val="Normal"/>
    <w:link w:val="FooterChar"/>
    <w:uiPriority w:val="99"/>
    <w:unhideWhenUsed/>
    <w:rsid w:val="00F94F86"/>
    <w:pPr>
      <w:tabs>
        <w:tab w:val="center" w:pos="4513"/>
        <w:tab w:val="right" w:pos="9026"/>
      </w:tabs>
    </w:pPr>
  </w:style>
  <w:style w:type="character" w:customStyle="1" w:styleId="FooterChar">
    <w:name w:val="Footer Char"/>
    <w:basedOn w:val="DefaultParagraphFont"/>
    <w:link w:val="Footer"/>
    <w:uiPriority w:val="99"/>
    <w:rsid w:val="00F94F86"/>
    <w:rPr>
      <w:rFonts w:ascii="Arial" w:eastAsia="Calibri" w:hAnsi="Arial" w:cs="Times New Roman"/>
      <w:sz w:val="24"/>
    </w:rPr>
  </w:style>
  <w:style w:type="paragraph" w:styleId="BalloonText">
    <w:name w:val="Balloon Text"/>
    <w:basedOn w:val="Normal"/>
    <w:link w:val="BalloonTextChar"/>
    <w:uiPriority w:val="99"/>
    <w:semiHidden/>
    <w:unhideWhenUsed/>
    <w:rsid w:val="00111382"/>
    <w:rPr>
      <w:rFonts w:ascii="Tahoma" w:hAnsi="Tahoma" w:cs="Tahoma"/>
      <w:sz w:val="16"/>
      <w:szCs w:val="16"/>
    </w:rPr>
  </w:style>
  <w:style w:type="character" w:customStyle="1" w:styleId="BalloonTextChar">
    <w:name w:val="Balloon Text Char"/>
    <w:basedOn w:val="DefaultParagraphFont"/>
    <w:link w:val="BalloonText"/>
    <w:uiPriority w:val="99"/>
    <w:semiHidden/>
    <w:rsid w:val="001113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38"/>
    <w:pPr>
      <w:spacing w:after="0" w:line="240" w:lineRule="auto"/>
      <w:jc w:val="center"/>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94F86"/>
    <w:pPr>
      <w:ind w:left="720"/>
      <w:contextualSpacing/>
    </w:pPr>
  </w:style>
  <w:style w:type="table" w:styleId="TableGrid">
    <w:name w:val="Table Grid"/>
    <w:basedOn w:val="TableNormal"/>
    <w:uiPriority w:val="59"/>
    <w:rsid w:val="00F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F86"/>
    <w:pPr>
      <w:tabs>
        <w:tab w:val="center" w:pos="4513"/>
        <w:tab w:val="right" w:pos="9026"/>
      </w:tabs>
    </w:pPr>
  </w:style>
  <w:style w:type="character" w:customStyle="1" w:styleId="HeaderChar">
    <w:name w:val="Header Char"/>
    <w:basedOn w:val="DefaultParagraphFont"/>
    <w:link w:val="Header"/>
    <w:uiPriority w:val="99"/>
    <w:rsid w:val="00F94F86"/>
    <w:rPr>
      <w:rFonts w:ascii="Arial" w:eastAsia="Calibri" w:hAnsi="Arial" w:cs="Times New Roman"/>
      <w:sz w:val="24"/>
    </w:rPr>
  </w:style>
  <w:style w:type="paragraph" w:styleId="Footer">
    <w:name w:val="footer"/>
    <w:basedOn w:val="Normal"/>
    <w:link w:val="FooterChar"/>
    <w:uiPriority w:val="99"/>
    <w:unhideWhenUsed/>
    <w:rsid w:val="00F94F86"/>
    <w:pPr>
      <w:tabs>
        <w:tab w:val="center" w:pos="4513"/>
        <w:tab w:val="right" w:pos="9026"/>
      </w:tabs>
    </w:pPr>
  </w:style>
  <w:style w:type="character" w:customStyle="1" w:styleId="FooterChar">
    <w:name w:val="Footer Char"/>
    <w:basedOn w:val="DefaultParagraphFont"/>
    <w:link w:val="Footer"/>
    <w:uiPriority w:val="99"/>
    <w:rsid w:val="00F94F86"/>
    <w:rPr>
      <w:rFonts w:ascii="Arial" w:eastAsia="Calibri" w:hAnsi="Arial" w:cs="Times New Roman"/>
      <w:sz w:val="24"/>
    </w:rPr>
  </w:style>
  <w:style w:type="paragraph" w:styleId="BalloonText">
    <w:name w:val="Balloon Text"/>
    <w:basedOn w:val="Normal"/>
    <w:link w:val="BalloonTextChar"/>
    <w:uiPriority w:val="99"/>
    <w:semiHidden/>
    <w:unhideWhenUsed/>
    <w:rsid w:val="00111382"/>
    <w:rPr>
      <w:rFonts w:ascii="Tahoma" w:hAnsi="Tahoma" w:cs="Tahoma"/>
      <w:sz w:val="16"/>
      <w:szCs w:val="16"/>
    </w:rPr>
  </w:style>
  <w:style w:type="character" w:customStyle="1" w:styleId="BalloonTextChar">
    <w:name w:val="Balloon Text Char"/>
    <w:basedOn w:val="DefaultParagraphFont"/>
    <w:link w:val="BalloonText"/>
    <w:uiPriority w:val="99"/>
    <w:semiHidden/>
    <w:rsid w:val="001113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D818-5726-4AB2-951E-89B8C347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38C37AC4</Template>
  <TotalTime>0</TotalTime>
  <Pages>1</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Karen - EY EPA</dc:creator>
  <cp:lastModifiedBy>Walls, Portia - EY EPA</cp:lastModifiedBy>
  <cp:revision>2</cp:revision>
  <cp:lastPrinted>2014-07-03T07:19:00Z</cp:lastPrinted>
  <dcterms:created xsi:type="dcterms:W3CDTF">2016-03-09T15:10:00Z</dcterms:created>
  <dcterms:modified xsi:type="dcterms:W3CDTF">2016-03-09T15:10:00Z</dcterms:modified>
</cp:coreProperties>
</file>