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833A" w14:textId="77777777" w:rsidR="00AA0D20" w:rsidRDefault="00AA0D20" w:rsidP="00AA0D20">
      <w:pPr>
        <w:rPr>
          <w:rFonts w:ascii="Arial" w:hAnsi="Arial" w:cs="Arial"/>
          <w:sz w:val="24"/>
          <w:szCs w:val="24"/>
          <w:lang w:eastAsia="en-US"/>
        </w:rPr>
      </w:pPr>
      <w:r>
        <w:rPr>
          <w:rFonts w:ascii="Arial" w:hAnsi="Arial" w:cs="Arial"/>
          <w:sz w:val="24"/>
          <w:szCs w:val="24"/>
          <w:lang w:eastAsia="en-US"/>
        </w:rPr>
        <w:t>Dear Early Years and Childcare Providers</w:t>
      </w:r>
    </w:p>
    <w:p w14:paraId="12160AD6" w14:textId="77777777" w:rsidR="00AA0D20" w:rsidRDefault="00AA0D20" w:rsidP="00AA0D20">
      <w:pPr>
        <w:rPr>
          <w:rFonts w:ascii="Arial" w:hAnsi="Arial" w:cs="Arial"/>
          <w:sz w:val="24"/>
          <w:szCs w:val="24"/>
          <w:lang w:eastAsia="en-US"/>
        </w:rPr>
      </w:pPr>
    </w:p>
    <w:p w14:paraId="72AA6125" w14:textId="51F7E777" w:rsidR="00AA0D20" w:rsidRDefault="00AA0D20" w:rsidP="00AA0D20">
      <w:pPr>
        <w:rPr>
          <w:rFonts w:ascii="Arial" w:hAnsi="Arial" w:cs="Arial"/>
          <w:sz w:val="24"/>
          <w:szCs w:val="24"/>
          <w:lang w:eastAsia="en-US"/>
        </w:rPr>
      </w:pPr>
      <w:r>
        <w:rPr>
          <w:rFonts w:ascii="Arial" w:hAnsi="Arial" w:cs="Arial"/>
          <w:sz w:val="24"/>
          <w:szCs w:val="24"/>
          <w:lang w:eastAsia="en-US"/>
        </w:rPr>
        <w:t>Please see below we have forwarded you today’s update email from the Department for Education which details arrangements following yesterday’s announcements by the Prime Minister.  As usual we also include a round</w:t>
      </w:r>
      <w:r w:rsidR="00F83147">
        <w:rPr>
          <w:rFonts w:ascii="Arial" w:hAnsi="Arial" w:cs="Arial"/>
          <w:sz w:val="24"/>
          <w:szCs w:val="24"/>
          <w:lang w:eastAsia="en-US"/>
        </w:rPr>
        <w:t>-</w:t>
      </w:r>
      <w:r>
        <w:rPr>
          <w:rFonts w:ascii="Arial" w:hAnsi="Arial" w:cs="Arial"/>
          <w:sz w:val="24"/>
          <w:szCs w:val="24"/>
          <w:lang w:eastAsia="en-US"/>
        </w:rPr>
        <w:t>up of other updates for you, your staff and your families.</w:t>
      </w:r>
    </w:p>
    <w:p w14:paraId="0D5DCB7F" w14:textId="77777777" w:rsidR="00AA0D20" w:rsidRDefault="00AA0D20" w:rsidP="00AA0D20">
      <w:pPr>
        <w:rPr>
          <w:rFonts w:ascii="Arial" w:hAnsi="Arial" w:cs="Arial"/>
          <w:sz w:val="24"/>
          <w:szCs w:val="24"/>
          <w:lang w:eastAsia="en-US"/>
        </w:rPr>
      </w:pPr>
    </w:p>
    <w:p w14:paraId="62546EC6" w14:textId="77777777" w:rsidR="00AA0D20" w:rsidRDefault="00AA0D20" w:rsidP="00AA0D20">
      <w:pPr>
        <w:rPr>
          <w:rFonts w:ascii="Arial" w:hAnsi="Arial" w:cs="Arial"/>
          <w:b/>
          <w:bCs/>
          <w:sz w:val="24"/>
          <w:szCs w:val="24"/>
          <w:lang w:eastAsia="en-US"/>
        </w:rPr>
      </w:pPr>
      <w:r>
        <w:rPr>
          <w:rFonts w:ascii="Arial" w:hAnsi="Arial" w:cs="Arial"/>
          <w:b/>
          <w:bCs/>
          <w:sz w:val="24"/>
          <w:szCs w:val="24"/>
          <w:lang w:eastAsia="en-US"/>
        </w:rPr>
        <w:t>Updates for the Sector</w:t>
      </w:r>
    </w:p>
    <w:p w14:paraId="5C2A7F24" w14:textId="77777777" w:rsidR="00AA0D20" w:rsidRDefault="00AA0D20" w:rsidP="00AA0D20">
      <w:pPr>
        <w:rPr>
          <w:rFonts w:ascii="Arial" w:hAnsi="Arial" w:cs="Arial"/>
          <w:color w:val="0B0C0C"/>
          <w:sz w:val="24"/>
          <w:szCs w:val="24"/>
        </w:rPr>
      </w:pPr>
      <w:hyperlink r:id="rId5" w:history="1">
        <w:r>
          <w:rPr>
            <w:rStyle w:val="Hyperlink"/>
            <w:rFonts w:ascii="Arial" w:hAnsi="Arial" w:cs="Arial"/>
            <w:color w:val="1D70B8"/>
            <w:sz w:val="24"/>
            <w:szCs w:val="24"/>
          </w:rPr>
          <w:t>Actions for early years and childcare providers during the coronavirus (COVID-19) outbreak</w:t>
        </w:r>
      </w:hyperlink>
      <w:r>
        <w:rPr>
          <w:rFonts w:ascii="Arial" w:hAnsi="Arial" w:cs="Arial"/>
          <w:color w:val="0B0C0C"/>
          <w:sz w:val="24"/>
          <w:szCs w:val="24"/>
        </w:rPr>
        <w:t xml:space="preserve"> 2 December 2021</w:t>
      </w:r>
    </w:p>
    <w:p w14:paraId="655C606B" w14:textId="77777777" w:rsidR="00AA0D20" w:rsidRDefault="00AA0D20" w:rsidP="00AA0D20">
      <w:pPr>
        <w:rPr>
          <w:rFonts w:ascii="Arial" w:hAnsi="Arial" w:cs="Arial"/>
          <w:color w:val="0B0C0C"/>
          <w:sz w:val="24"/>
          <w:szCs w:val="24"/>
        </w:rPr>
      </w:pPr>
      <w:r>
        <w:rPr>
          <w:rFonts w:ascii="Arial" w:hAnsi="Arial" w:cs="Arial"/>
          <w:color w:val="0B0C0C"/>
          <w:sz w:val="24"/>
          <w:szCs w:val="24"/>
        </w:rPr>
        <w:t>Converted to HTML to improve accessibility. Added clarification on the use of face visors and face shields by those who are exempt from wearing face coverings and what guidance children and staff must follow when traveling to England from abroad.</w:t>
      </w:r>
    </w:p>
    <w:p w14:paraId="23EBC8A2" w14:textId="77777777" w:rsidR="00AA0D20" w:rsidRDefault="00AA0D20" w:rsidP="00AA0D20">
      <w:pPr>
        <w:rPr>
          <w:rFonts w:ascii="Arial" w:hAnsi="Arial" w:cs="Arial"/>
          <w:color w:val="0B0C0C"/>
          <w:sz w:val="24"/>
          <w:szCs w:val="24"/>
        </w:rPr>
      </w:pPr>
    </w:p>
    <w:p w14:paraId="277CA793" w14:textId="77777777" w:rsidR="00AA0D20" w:rsidRDefault="00AA0D20" w:rsidP="00AA0D20">
      <w:pPr>
        <w:rPr>
          <w:rFonts w:ascii="Arial" w:hAnsi="Arial" w:cs="Arial"/>
          <w:color w:val="0B0C0C"/>
          <w:sz w:val="24"/>
          <w:szCs w:val="24"/>
        </w:rPr>
      </w:pPr>
      <w:hyperlink r:id="rId6" w:history="1">
        <w:r>
          <w:rPr>
            <w:rStyle w:val="Hyperlink"/>
            <w:rFonts w:ascii="Arial" w:hAnsi="Arial" w:cs="Arial"/>
            <w:color w:val="1D70B8"/>
            <w:sz w:val="24"/>
            <w:szCs w:val="24"/>
          </w:rPr>
          <w:t>Pay Coronavirus Job Retention Scheme grants back</w:t>
        </w:r>
      </w:hyperlink>
      <w:r>
        <w:rPr>
          <w:rFonts w:ascii="Arial" w:hAnsi="Arial" w:cs="Arial"/>
          <w:color w:val="0B0C0C"/>
          <w:sz w:val="24"/>
          <w:szCs w:val="24"/>
        </w:rPr>
        <w:t xml:space="preserve"> 2 December 2021</w:t>
      </w:r>
      <w:r>
        <w:rPr>
          <w:rFonts w:ascii="Arial" w:hAnsi="Arial" w:cs="Arial"/>
          <w:color w:val="0B0C0C"/>
          <w:sz w:val="24"/>
          <w:szCs w:val="24"/>
        </w:rPr>
        <w:br/>
        <w:t xml:space="preserve">Added section ‘If you’ve not paid your employees enough.’ Added further information about offsetting an amount you’ve overclaimed. </w:t>
      </w:r>
    </w:p>
    <w:p w14:paraId="74357922" w14:textId="77777777" w:rsidR="00AA0D20" w:rsidRDefault="00AA0D20" w:rsidP="00AA0D20">
      <w:pPr>
        <w:rPr>
          <w:rFonts w:ascii="Arial" w:hAnsi="Arial" w:cs="Arial"/>
          <w:color w:val="0B0C0C"/>
          <w:sz w:val="24"/>
          <w:szCs w:val="24"/>
        </w:rPr>
      </w:pPr>
    </w:p>
    <w:p w14:paraId="4274F92C" w14:textId="77777777" w:rsidR="00AA0D20" w:rsidRDefault="00AA0D20" w:rsidP="00AA0D20">
      <w:pPr>
        <w:rPr>
          <w:rFonts w:ascii="Arial" w:hAnsi="Arial" w:cs="Arial"/>
          <w:sz w:val="24"/>
          <w:szCs w:val="24"/>
        </w:rPr>
      </w:pPr>
      <w:hyperlink r:id="rId7" w:history="1">
        <w:r>
          <w:rPr>
            <w:rStyle w:val="Hyperlink"/>
            <w:rFonts w:ascii="Arial" w:hAnsi="Arial" w:cs="Arial"/>
            <w:color w:val="1D70B8"/>
            <w:sz w:val="24"/>
            <w:szCs w:val="24"/>
          </w:rPr>
          <w:t>Check a previous Coronavirus Job Retention Scheme claim</w:t>
        </w:r>
      </w:hyperlink>
      <w:r>
        <w:rPr>
          <w:rFonts w:ascii="Arial" w:hAnsi="Arial" w:cs="Arial"/>
          <w:color w:val="0B0C0C"/>
          <w:sz w:val="24"/>
          <w:szCs w:val="24"/>
        </w:rPr>
        <w:t xml:space="preserve"> 2 December 2021:</w:t>
      </w:r>
      <w:r>
        <w:rPr>
          <w:rFonts w:ascii="Arial" w:hAnsi="Arial" w:cs="Arial"/>
          <w:color w:val="0B0C0C"/>
          <w:sz w:val="24"/>
          <w:szCs w:val="24"/>
        </w:rPr>
        <w:br/>
        <w:t>Added information on ‘If you’ve underpaid employees.’</w:t>
      </w:r>
    </w:p>
    <w:p w14:paraId="1C87F583" w14:textId="77777777" w:rsidR="00AA0D20" w:rsidRDefault="00AA0D20" w:rsidP="00AA0D20">
      <w:pPr>
        <w:rPr>
          <w:rFonts w:ascii="Arial" w:hAnsi="Arial" w:cs="Arial"/>
          <w:color w:val="0B0C0C"/>
          <w:sz w:val="24"/>
          <w:szCs w:val="24"/>
        </w:rPr>
      </w:pPr>
    </w:p>
    <w:p w14:paraId="26E264FA" w14:textId="77777777" w:rsidR="00AA0D20" w:rsidRDefault="00AA0D20" w:rsidP="00AA0D20">
      <w:pPr>
        <w:rPr>
          <w:rFonts w:ascii="Arial" w:hAnsi="Arial" w:cs="Arial"/>
          <w:color w:val="0B0C0C"/>
          <w:sz w:val="24"/>
          <w:szCs w:val="24"/>
        </w:rPr>
      </w:pPr>
      <w:hyperlink r:id="rId8" w:history="1">
        <w:r>
          <w:rPr>
            <w:rStyle w:val="Hyperlink"/>
            <w:rFonts w:ascii="Arial" w:hAnsi="Arial" w:cs="Arial"/>
            <w:color w:val="1D70B8"/>
            <w:sz w:val="24"/>
            <w:szCs w:val="24"/>
          </w:rPr>
          <w:t>Guidance for contacts of people with confirmed coronavirus (COVID-19) infection who do not live with the person</w:t>
        </w:r>
      </w:hyperlink>
      <w:r>
        <w:rPr>
          <w:rFonts w:ascii="Arial" w:hAnsi="Arial" w:cs="Arial"/>
          <w:color w:val="0B0C0C"/>
          <w:sz w:val="24"/>
          <w:szCs w:val="24"/>
        </w:rPr>
        <w:t xml:space="preserve"> 2 December 2021</w:t>
      </w:r>
      <w:r>
        <w:rPr>
          <w:rFonts w:ascii="Arial" w:hAnsi="Arial" w:cs="Arial"/>
          <w:color w:val="0B0C0C"/>
          <w:sz w:val="24"/>
          <w:szCs w:val="24"/>
        </w:rPr>
        <w:br/>
        <w:t>Added What has changed section. Clarified that contacts legally required to self-isolate (including contacts of suspected or confirmed Omicron cases) must complete their isolation period even if they test negative during that period.</w:t>
      </w:r>
    </w:p>
    <w:p w14:paraId="5648A21C" w14:textId="77777777" w:rsidR="00AA0D20" w:rsidRDefault="00AA0D20" w:rsidP="00AA0D20">
      <w:pPr>
        <w:rPr>
          <w:rFonts w:ascii="Arial" w:hAnsi="Arial" w:cs="Arial"/>
          <w:color w:val="0B0C0C"/>
          <w:sz w:val="24"/>
          <w:szCs w:val="24"/>
        </w:rPr>
      </w:pPr>
    </w:p>
    <w:p w14:paraId="3B7FFD77" w14:textId="77777777" w:rsidR="00AA0D20" w:rsidRDefault="00AA0D20" w:rsidP="00AA0D20">
      <w:pPr>
        <w:spacing w:after="300"/>
        <w:rPr>
          <w:rFonts w:ascii="Arial" w:hAnsi="Arial" w:cs="Arial"/>
          <w:color w:val="0B0C0C"/>
          <w:sz w:val="24"/>
          <w:szCs w:val="24"/>
        </w:rPr>
      </w:pPr>
      <w:hyperlink r:id="rId9" w:history="1">
        <w:r>
          <w:rPr>
            <w:rStyle w:val="Hyperlink"/>
            <w:rFonts w:ascii="Arial" w:hAnsi="Arial" w:cs="Arial"/>
            <w:color w:val="1D70B8"/>
            <w:sz w:val="24"/>
            <w:szCs w:val="24"/>
          </w:rPr>
          <w:t>Managing coronavirus (COVID-19) in education and childcare settings</w:t>
        </w:r>
      </w:hyperlink>
      <w:r>
        <w:rPr>
          <w:rFonts w:ascii="Arial" w:hAnsi="Arial" w:cs="Arial"/>
          <w:color w:val="0B0C0C"/>
          <w:sz w:val="24"/>
          <w:szCs w:val="24"/>
        </w:rPr>
        <w:t xml:space="preserve"> 3 December 2021</w:t>
      </w:r>
      <w:r>
        <w:rPr>
          <w:rFonts w:ascii="Arial" w:hAnsi="Arial" w:cs="Arial"/>
          <w:color w:val="0B0C0C"/>
          <w:sz w:val="24"/>
          <w:szCs w:val="24"/>
        </w:rPr>
        <w:br/>
        <w:t>Updated guidance on contact tracing and isolation, face coverings and testing of higher education students.</w:t>
      </w:r>
    </w:p>
    <w:p w14:paraId="382B8A49" w14:textId="77777777" w:rsidR="00AA0D20" w:rsidRDefault="00AA0D20" w:rsidP="00AA0D20">
      <w:pPr>
        <w:rPr>
          <w:rFonts w:ascii="Arial" w:hAnsi="Arial" w:cs="Arial"/>
          <w:color w:val="0B0C0C"/>
          <w:sz w:val="24"/>
          <w:szCs w:val="24"/>
        </w:rPr>
      </w:pPr>
    </w:p>
    <w:p w14:paraId="7964D401" w14:textId="77777777" w:rsidR="00AA0D20" w:rsidRDefault="00AA0D20" w:rsidP="00AA0D20">
      <w:pPr>
        <w:rPr>
          <w:rFonts w:ascii="Arial" w:hAnsi="Arial" w:cs="Arial"/>
          <w:b/>
          <w:bCs/>
          <w:sz w:val="24"/>
          <w:szCs w:val="24"/>
          <w:lang w:eastAsia="en-US"/>
        </w:rPr>
      </w:pPr>
      <w:r>
        <w:rPr>
          <w:rFonts w:ascii="Arial" w:hAnsi="Arial" w:cs="Arial"/>
          <w:b/>
          <w:bCs/>
          <w:sz w:val="24"/>
          <w:szCs w:val="24"/>
          <w:lang w:eastAsia="en-US"/>
        </w:rPr>
        <w:t>Updates for Families</w:t>
      </w:r>
    </w:p>
    <w:p w14:paraId="2C262120" w14:textId="77777777" w:rsidR="00AA0D20" w:rsidRDefault="00AA0D20" w:rsidP="00AA0D20">
      <w:pPr>
        <w:rPr>
          <w:rFonts w:ascii="Arial" w:hAnsi="Arial" w:cs="Arial"/>
          <w:color w:val="0B0C0C"/>
          <w:sz w:val="24"/>
          <w:szCs w:val="24"/>
        </w:rPr>
      </w:pPr>
      <w:hyperlink r:id="rId10" w:history="1">
        <w:r>
          <w:rPr>
            <w:rStyle w:val="Hyperlink"/>
            <w:rFonts w:ascii="Arial" w:hAnsi="Arial" w:cs="Arial"/>
            <w:color w:val="1D70B8"/>
            <w:sz w:val="24"/>
            <w:szCs w:val="24"/>
          </w:rPr>
          <w:t>What parents and carers need to know about early years providers, schools and colleges during COVID-19</w:t>
        </w:r>
      </w:hyperlink>
      <w:r>
        <w:rPr>
          <w:rFonts w:ascii="Arial" w:hAnsi="Arial" w:cs="Arial"/>
          <w:color w:val="0B0C0C"/>
          <w:sz w:val="24"/>
          <w:szCs w:val="24"/>
        </w:rPr>
        <w:t xml:space="preserve"> 2 December 2021</w:t>
      </w:r>
      <w:r>
        <w:rPr>
          <w:rFonts w:ascii="Arial" w:hAnsi="Arial" w:cs="Arial"/>
          <w:color w:val="0B0C0C"/>
          <w:sz w:val="24"/>
          <w:szCs w:val="24"/>
        </w:rPr>
        <w:br/>
        <w:t>Updated guidance on face coverings, contact tracing and isolation, vaccinations, and holidays and travel to reflect new measures announced on 27 November 2021.</w:t>
      </w:r>
    </w:p>
    <w:p w14:paraId="4DD19EB8" w14:textId="77777777" w:rsidR="00AA0D20" w:rsidRDefault="00AA0D20" w:rsidP="00AA0D20">
      <w:pPr>
        <w:rPr>
          <w:rFonts w:ascii="Arial" w:hAnsi="Arial" w:cs="Arial"/>
          <w:lang w:eastAsia="en-US"/>
        </w:rPr>
      </w:pPr>
    </w:p>
    <w:p w14:paraId="7DC2C75D" w14:textId="77777777" w:rsidR="00AA0D20" w:rsidRDefault="00AA0D20" w:rsidP="00AA0D20">
      <w:pPr>
        <w:rPr>
          <w:rFonts w:ascii="Arial" w:hAnsi="Arial" w:cs="Arial"/>
          <w:lang w:eastAsia="en-US"/>
        </w:rPr>
      </w:pPr>
    </w:p>
    <w:p w14:paraId="346748C6" w14:textId="77777777" w:rsidR="00AA0D20" w:rsidRDefault="00AA0D20" w:rsidP="00AA0D20">
      <w:pPr>
        <w:outlineLvl w:val="0"/>
        <w:rPr>
          <w:lang w:val="en-US"/>
        </w:rPr>
      </w:pPr>
      <w:r>
        <w:rPr>
          <w:b/>
          <w:bCs/>
          <w:lang w:val="en-US"/>
        </w:rPr>
        <w:t>From:</w:t>
      </w:r>
      <w:r>
        <w:rPr>
          <w:lang w:val="en-US"/>
        </w:rPr>
        <w:t xml:space="preserve"> DfE information &lt;</w:t>
      </w:r>
      <w:hyperlink r:id="rId11" w:history="1">
        <w:r>
          <w:rPr>
            <w:rStyle w:val="Hyperlink"/>
            <w:lang w:val="en-US"/>
          </w:rPr>
          <w:t>dfe.information@notifications.service.gov.uk</w:t>
        </w:r>
      </w:hyperlink>
      <w:r>
        <w:rPr>
          <w:lang w:val="en-US"/>
        </w:rPr>
        <w:t xml:space="preserve">&gt; </w:t>
      </w:r>
      <w:r>
        <w:rPr>
          <w:lang w:val="en-US"/>
        </w:rPr>
        <w:br/>
      </w:r>
      <w:r>
        <w:rPr>
          <w:b/>
          <w:bCs/>
          <w:lang w:val="en-US"/>
        </w:rPr>
        <w:t>Sent:</w:t>
      </w:r>
      <w:r>
        <w:rPr>
          <w:lang w:val="en-US"/>
        </w:rPr>
        <w:t xml:space="preserve"> 09 December 2021 08:54</w:t>
      </w:r>
      <w:r>
        <w:rPr>
          <w:lang w:val="en-US"/>
        </w:rPr>
        <w:br/>
      </w:r>
      <w:r>
        <w:rPr>
          <w:b/>
          <w:bCs/>
          <w:lang w:val="en-US"/>
        </w:rPr>
        <w:t>Subject:</w:t>
      </w:r>
      <w:r>
        <w:rPr>
          <w:lang w:val="en-US"/>
        </w:rPr>
        <w:t xml:space="preserve"> 9 December – Coronavirus – Update to all education and childcare settings and providers</w:t>
      </w:r>
    </w:p>
    <w:p w14:paraId="795FB5DC" w14:textId="77777777" w:rsidR="00AA0D20" w:rsidRDefault="00AA0D20" w:rsidP="00AA0D20"/>
    <w:p w14:paraId="67D0A245" w14:textId="77777777" w:rsidR="00AA0D20" w:rsidRDefault="00AA0D20" w:rsidP="00AA0D20">
      <w:pPr>
        <w:rPr>
          <w:rFonts w:ascii="Helvetica" w:hAnsi="Helvetica" w:cs="Helvetica"/>
          <w:color w:val="0B0C0C"/>
          <w:sz w:val="24"/>
          <w:szCs w:val="24"/>
          <w:lang w:val="en"/>
        </w:rPr>
      </w:pPr>
      <w:r>
        <w:rPr>
          <w:rFonts w:ascii="Helvetica" w:hAnsi="Helvetica" w:cs="Helvetica"/>
          <w:color w:val="FFFFFF"/>
          <w:sz w:val="2"/>
          <w:szCs w:val="2"/>
          <w:lang w:val="en"/>
        </w:rPr>
        <w:t>09 December – Coronavirus (COVID-19) – URGENT Update to all early years, children’s social care, schools, further education and higher education providers Today’s email includes an urgent update for all education and childcare settings on implementing Plan…</w:t>
      </w:r>
      <w:r>
        <w:rPr>
          <w:rFonts w:ascii="Helvetica" w:hAnsi="Helvetica" w:cs="Helvetica"/>
          <w:color w:val="0B0C0C"/>
          <w:sz w:val="24"/>
          <w:szCs w:val="24"/>
          <w:lang w:val="en"/>
        </w:rPr>
        <w:t xml:space="preserve"> </w:t>
      </w:r>
    </w:p>
    <w:tbl>
      <w:tblPr>
        <w:tblW w:w="5000" w:type="pct"/>
        <w:tblCellMar>
          <w:left w:w="0" w:type="dxa"/>
          <w:right w:w="0" w:type="dxa"/>
        </w:tblCellMar>
        <w:tblLook w:val="04A0" w:firstRow="1" w:lastRow="0" w:firstColumn="1" w:lastColumn="0" w:noHBand="0" w:noVBand="1"/>
      </w:tblPr>
      <w:tblGrid>
        <w:gridCol w:w="9026"/>
      </w:tblGrid>
      <w:tr w:rsidR="00AA0D20" w14:paraId="32E81001" w14:textId="77777777" w:rsidTr="00AA0D20">
        <w:trPr>
          <w:trHeight w:val="795"/>
        </w:trPr>
        <w:tc>
          <w:tcPr>
            <w:tcW w:w="5000" w:type="pct"/>
            <w:shd w:val="clear" w:color="auto" w:fill="0B0C0C"/>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AA0D20" w14:paraId="7FACB7CA" w14:textId="77777777">
              <w:trPr>
                <w:jc w:val="center"/>
              </w:trPr>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AA0D20" w14:paraId="00B6CFE8" w14:textId="77777777">
                    <w:trPr>
                      <w:jc w:val="center"/>
                    </w:trPr>
                    <w:tc>
                      <w:tcPr>
                        <w:tcW w:w="1050" w:type="dxa"/>
                        <w:shd w:val="clear" w:color="auto" w:fill="0B0C0C"/>
                        <w:vAlign w:val="center"/>
                        <w:hideMark/>
                      </w:tcPr>
                      <w:tbl>
                        <w:tblPr>
                          <w:tblW w:w="0" w:type="auto"/>
                          <w:tblCellMar>
                            <w:left w:w="0" w:type="dxa"/>
                            <w:right w:w="0" w:type="dxa"/>
                          </w:tblCellMar>
                          <w:tblLook w:val="04A0" w:firstRow="1" w:lastRow="0" w:firstColumn="1" w:lastColumn="0" w:noHBand="0" w:noVBand="1"/>
                        </w:tblPr>
                        <w:tblGrid>
                          <w:gridCol w:w="690"/>
                          <w:gridCol w:w="1807"/>
                        </w:tblGrid>
                        <w:tr w:rsidR="00AA0D20" w14:paraId="71E31F29" w14:textId="77777777">
                          <w:tc>
                            <w:tcPr>
                              <w:tcW w:w="0" w:type="auto"/>
                              <w:tcMar>
                                <w:top w:w="0" w:type="dxa"/>
                                <w:left w:w="150" w:type="dxa"/>
                                <w:bottom w:w="0" w:type="dxa"/>
                                <w:right w:w="0" w:type="dxa"/>
                              </w:tcMar>
                              <w:vAlign w:val="center"/>
                              <w:hideMark/>
                            </w:tcPr>
                            <w:p w14:paraId="49EE19E4" w14:textId="4B7B8C95" w:rsidR="00AA0D20" w:rsidRDefault="00AA0D20">
                              <w:r>
                                <w:rPr>
                                  <w:noProof/>
                                </w:rPr>
                                <w:drawing>
                                  <wp:inline distT="0" distB="0" distL="0" distR="0" wp14:anchorId="3D515E7D" wp14:editId="730615B4">
                                    <wp:extent cx="340995" cy="307340"/>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30734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14:paraId="4E641E16" w14:textId="77777777" w:rsidR="00AA0D20" w:rsidRDefault="00AA0D20">
                              <w:pPr>
                                <w:spacing w:before="60"/>
                                <w:rPr>
                                  <w:sz w:val="42"/>
                                  <w:szCs w:val="42"/>
                                </w:rPr>
                              </w:pPr>
                              <w:r>
                                <w:rPr>
                                  <w:rFonts w:ascii="Helvetica" w:hAnsi="Helvetica" w:cs="Helvetica"/>
                                  <w:b/>
                                  <w:bCs/>
                                  <w:color w:val="FFFFFF"/>
                                  <w:sz w:val="42"/>
                                  <w:szCs w:val="42"/>
                                </w:rPr>
                                <w:t>GOV.UK</w:t>
                              </w:r>
                              <w:r>
                                <w:rPr>
                                  <w:sz w:val="42"/>
                                  <w:szCs w:val="42"/>
                                </w:rPr>
                                <w:t xml:space="preserve"> </w:t>
                              </w:r>
                            </w:p>
                          </w:tc>
                        </w:tr>
                      </w:tbl>
                      <w:p w14:paraId="312F5AB0" w14:textId="77777777" w:rsidR="00AA0D20" w:rsidRDefault="00AA0D20">
                        <w:pPr>
                          <w:rPr>
                            <w:rFonts w:ascii="Times New Roman" w:eastAsia="Times New Roman" w:hAnsi="Times New Roman" w:cs="Times New Roman"/>
                            <w:sz w:val="20"/>
                            <w:szCs w:val="20"/>
                          </w:rPr>
                        </w:pPr>
                      </w:p>
                    </w:tc>
                  </w:tr>
                </w:tbl>
                <w:p w14:paraId="0052B314" w14:textId="77777777" w:rsidR="00AA0D20" w:rsidRDefault="00AA0D20">
                  <w:pPr>
                    <w:jc w:val="center"/>
                    <w:rPr>
                      <w:rFonts w:ascii="Times New Roman" w:eastAsia="Times New Roman" w:hAnsi="Times New Roman" w:cs="Times New Roman"/>
                      <w:sz w:val="20"/>
                      <w:szCs w:val="20"/>
                    </w:rPr>
                  </w:pPr>
                </w:p>
              </w:tc>
            </w:tr>
          </w:tbl>
          <w:p w14:paraId="2013CE8F" w14:textId="77777777" w:rsidR="00AA0D20" w:rsidRDefault="00AA0D20">
            <w:pPr>
              <w:jc w:val="center"/>
              <w:rPr>
                <w:rFonts w:ascii="Times New Roman" w:eastAsia="Times New Roman" w:hAnsi="Times New Roman" w:cs="Times New Roman"/>
                <w:sz w:val="20"/>
                <w:szCs w:val="20"/>
              </w:rPr>
            </w:pPr>
          </w:p>
        </w:tc>
      </w:tr>
    </w:tbl>
    <w:p w14:paraId="0BBAB7DB" w14:textId="77777777" w:rsidR="00AA0D20" w:rsidRDefault="00AA0D20" w:rsidP="00AA0D20">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AA0D20" w14:paraId="1C9E42BA" w14:textId="77777777" w:rsidTr="00AA0D20">
        <w:trPr>
          <w:trHeight w:val="150"/>
          <w:jc w:val="center"/>
          <w:hidden/>
        </w:trPr>
        <w:tc>
          <w:tcPr>
            <w:tcW w:w="150" w:type="dxa"/>
            <w:vAlign w:val="center"/>
            <w:hideMark/>
          </w:tcPr>
          <w:p w14:paraId="152BF699" w14:textId="77777777" w:rsidR="00AA0D20" w:rsidRDefault="00AA0D20">
            <w:pPr>
              <w:rPr>
                <w:rFonts w:ascii="Helvetica" w:hAnsi="Helvetica" w:cs="Helvetica"/>
                <w:vanish/>
                <w:color w:val="0B0C0C"/>
                <w:sz w:val="24"/>
                <w:szCs w:val="24"/>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AA0D20" w14:paraId="37B9F48E" w14:textId="77777777">
              <w:trPr>
                <w:trHeight w:val="15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AA0D20" w14:paraId="5E761AB7" w14:textId="77777777">
                    <w:trPr>
                      <w:trHeight w:val="150"/>
                    </w:trPr>
                    <w:tc>
                      <w:tcPr>
                        <w:tcW w:w="5000" w:type="pct"/>
                        <w:shd w:val="clear" w:color="auto" w:fill="1D70B8"/>
                        <w:vAlign w:val="center"/>
                        <w:hideMark/>
                      </w:tcPr>
                      <w:p w14:paraId="529FFB3C" w14:textId="77777777" w:rsidR="00AA0D20" w:rsidRDefault="00AA0D20">
                        <w:pPr>
                          <w:rPr>
                            <w:rFonts w:ascii="Times New Roman" w:eastAsia="Times New Roman" w:hAnsi="Times New Roman" w:cs="Times New Roman"/>
                            <w:sz w:val="20"/>
                            <w:szCs w:val="20"/>
                          </w:rPr>
                        </w:pPr>
                      </w:p>
                    </w:tc>
                  </w:tr>
                </w:tbl>
                <w:p w14:paraId="73EBCA39" w14:textId="77777777" w:rsidR="00AA0D20" w:rsidRDefault="00AA0D20">
                  <w:pPr>
                    <w:rPr>
                      <w:rFonts w:ascii="Times New Roman" w:eastAsia="Times New Roman" w:hAnsi="Times New Roman" w:cs="Times New Roman"/>
                      <w:sz w:val="20"/>
                      <w:szCs w:val="20"/>
                    </w:rPr>
                  </w:pPr>
                </w:p>
              </w:tc>
            </w:tr>
          </w:tbl>
          <w:p w14:paraId="73E7AB32" w14:textId="77777777" w:rsidR="00AA0D20" w:rsidRDefault="00AA0D20">
            <w:pPr>
              <w:jc w:val="center"/>
              <w:rPr>
                <w:rFonts w:ascii="Times New Roman" w:eastAsia="Times New Roman" w:hAnsi="Times New Roman" w:cs="Times New Roman"/>
                <w:sz w:val="20"/>
                <w:szCs w:val="20"/>
              </w:rPr>
            </w:pPr>
          </w:p>
        </w:tc>
        <w:tc>
          <w:tcPr>
            <w:tcW w:w="150" w:type="dxa"/>
            <w:vAlign w:val="center"/>
            <w:hideMark/>
          </w:tcPr>
          <w:p w14:paraId="199FA589" w14:textId="77777777" w:rsidR="00AA0D20" w:rsidRDefault="00AA0D20">
            <w:pPr>
              <w:rPr>
                <w:rFonts w:ascii="Times New Roman" w:eastAsia="Times New Roman" w:hAnsi="Times New Roman" w:cs="Times New Roman"/>
                <w:sz w:val="20"/>
                <w:szCs w:val="20"/>
              </w:rPr>
            </w:pPr>
          </w:p>
        </w:tc>
      </w:tr>
    </w:tbl>
    <w:p w14:paraId="7E7297C2" w14:textId="77777777" w:rsidR="00AA0D20" w:rsidRDefault="00AA0D20" w:rsidP="00AA0D20">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AA0D20" w14:paraId="0EE14C78" w14:textId="77777777" w:rsidTr="00AA0D20">
        <w:trPr>
          <w:trHeight w:val="150"/>
          <w:jc w:val="center"/>
          <w:hidden/>
        </w:trPr>
        <w:tc>
          <w:tcPr>
            <w:tcW w:w="150" w:type="dxa"/>
            <w:vAlign w:val="center"/>
            <w:hideMark/>
          </w:tcPr>
          <w:p w14:paraId="0D34E48B" w14:textId="77777777" w:rsidR="00AA0D20" w:rsidRDefault="00AA0D20">
            <w:pPr>
              <w:rPr>
                <w:rFonts w:ascii="Helvetica" w:hAnsi="Helvetica" w:cs="Helvetica"/>
                <w:vanish/>
                <w:color w:val="0B0C0C"/>
                <w:sz w:val="24"/>
                <w:szCs w:val="24"/>
                <w:lang w:val="en"/>
              </w:rPr>
            </w:pPr>
          </w:p>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AA0D20" w14:paraId="03FEC1D4" w14:textId="77777777">
              <w:trPr>
                <w:trHeight w:val="150"/>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394"/>
                    <w:gridCol w:w="6"/>
                  </w:tblGrid>
                  <w:tr w:rsidR="00AA0D20" w14:paraId="752309B3" w14:textId="77777777">
                    <w:trPr>
                      <w:trHeight w:val="360"/>
                    </w:trPr>
                    <w:tc>
                      <w:tcPr>
                        <w:tcW w:w="5000" w:type="pct"/>
                        <w:gridSpan w:val="2"/>
                        <w:vAlign w:val="center"/>
                        <w:hideMark/>
                      </w:tcPr>
                      <w:p w14:paraId="41304DBC" w14:textId="77777777" w:rsidR="00AA0D20" w:rsidRDefault="00AA0D20">
                        <w:pPr>
                          <w:rPr>
                            <w:rFonts w:ascii="Times New Roman" w:eastAsia="Times New Roman" w:hAnsi="Times New Roman" w:cs="Times New Roman"/>
                            <w:sz w:val="20"/>
                            <w:szCs w:val="20"/>
                          </w:rPr>
                        </w:pPr>
                      </w:p>
                    </w:tc>
                  </w:tr>
                  <w:tr w:rsidR="00AA0D20" w14:paraId="2A54E398"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64"/>
                          <w:gridCol w:w="7715"/>
                        </w:tblGrid>
                        <w:tr w:rsidR="00AA0D20" w14:paraId="36139BBF" w14:textId="77777777">
                          <w:tc>
                            <w:tcPr>
                              <w:tcW w:w="0" w:type="auto"/>
                              <w:tcBorders>
                                <w:top w:val="nil"/>
                                <w:left w:val="single" w:sz="12" w:space="0" w:color="003A69"/>
                                <w:bottom w:val="nil"/>
                                <w:right w:val="nil"/>
                              </w:tcBorders>
                              <w:tcMar>
                                <w:top w:w="0" w:type="dxa"/>
                                <w:left w:w="105" w:type="dxa"/>
                                <w:bottom w:w="0" w:type="dxa"/>
                                <w:right w:w="75" w:type="dxa"/>
                              </w:tcMar>
                              <w:vAlign w:val="center"/>
                              <w:hideMark/>
                            </w:tcPr>
                            <w:p w14:paraId="5C380126" w14:textId="6ED9C521" w:rsidR="00AA0D20" w:rsidRDefault="00AA0D20">
                              <w:r>
                                <w:rPr>
                                  <w:noProof/>
                                </w:rPr>
                                <w:drawing>
                                  <wp:inline distT="0" distB="0" distL="0" distR="0" wp14:anchorId="75A2C6EF" wp14:editId="7E932AB1">
                                    <wp:extent cx="307340" cy="259080"/>
                                    <wp:effectExtent l="0" t="0" r="0" b="762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40" cy="259080"/>
                                            </a:xfrm>
                                            <a:prstGeom prst="rect">
                                              <a:avLst/>
                                            </a:prstGeom>
                                            <a:noFill/>
                                            <a:ln>
                                              <a:noFill/>
                                            </a:ln>
                                          </pic:spPr>
                                        </pic:pic>
                                      </a:graphicData>
                                    </a:graphic>
                                  </wp:inline>
                                </w:drawing>
                              </w:r>
                            </w:p>
                          </w:tc>
                          <w:tc>
                            <w:tcPr>
                              <w:tcW w:w="5000" w:type="pct"/>
                              <w:vAlign w:val="center"/>
                              <w:hideMark/>
                            </w:tcPr>
                            <w:p w14:paraId="6B910903" w14:textId="77777777" w:rsidR="00AA0D20" w:rsidRDefault="00AA0D20">
                              <w:pPr>
                                <w:spacing w:line="345" w:lineRule="atLeast"/>
                                <w:rPr>
                                  <w:rFonts w:ascii="Helvetica" w:hAnsi="Helvetica" w:cs="Helvetica"/>
                                  <w:sz w:val="27"/>
                                  <w:szCs w:val="27"/>
                                </w:rPr>
                              </w:pPr>
                              <w:r>
                                <w:rPr>
                                  <w:rFonts w:ascii="Helvetica" w:hAnsi="Helvetica" w:cs="Helvetica"/>
                                  <w:sz w:val="27"/>
                                  <w:szCs w:val="27"/>
                                </w:rPr>
                                <w:t xml:space="preserve">Department for Education </w:t>
                              </w:r>
                            </w:p>
                          </w:tc>
                        </w:tr>
                      </w:tbl>
                      <w:p w14:paraId="294AB858" w14:textId="77777777" w:rsidR="00AA0D20" w:rsidRDefault="00AA0D20">
                        <w:pPr>
                          <w:rPr>
                            <w:rFonts w:ascii="Times New Roman" w:eastAsia="Times New Roman" w:hAnsi="Times New Roman" w:cs="Times New Roman"/>
                            <w:sz w:val="20"/>
                            <w:szCs w:val="20"/>
                          </w:rPr>
                        </w:pPr>
                      </w:p>
                    </w:tc>
                    <w:tc>
                      <w:tcPr>
                        <w:tcW w:w="0" w:type="auto"/>
                        <w:vAlign w:val="center"/>
                        <w:hideMark/>
                      </w:tcPr>
                      <w:p w14:paraId="328EC629" w14:textId="77777777" w:rsidR="00AA0D20" w:rsidRDefault="00AA0D20">
                        <w:pPr>
                          <w:rPr>
                            <w:rFonts w:ascii="Times New Roman" w:eastAsia="Times New Roman" w:hAnsi="Times New Roman" w:cs="Times New Roman"/>
                            <w:sz w:val="20"/>
                            <w:szCs w:val="20"/>
                          </w:rPr>
                        </w:pPr>
                      </w:p>
                    </w:tc>
                  </w:tr>
                </w:tbl>
                <w:p w14:paraId="15AC09C0" w14:textId="77777777" w:rsidR="00AA0D20" w:rsidRDefault="00AA0D20">
                  <w:pPr>
                    <w:rPr>
                      <w:rFonts w:ascii="Times New Roman" w:eastAsia="Times New Roman" w:hAnsi="Times New Roman" w:cs="Times New Roman"/>
                      <w:sz w:val="20"/>
                      <w:szCs w:val="20"/>
                    </w:rPr>
                  </w:pPr>
                </w:p>
              </w:tc>
            </w:tr>
          </w:tbl>
          <w:p w14:paraId="5F5E8288" w14:textId="77777777" w:rsidR="00AA0D20" w:rsidRDefault="00AA0D20">
            <w:pPr>
              <w:jc w:val="center"/>
              <w:rPr>
                <w:rFonts w:ascii="Times New Roman" w:eastAsia="Times New Roman" w:hAnsi="Times New Roman" w:cs="Times New Roman"/>
                <w:sz w:val="20"/>
                <w:szCs w:val="20"/>
              </w:rPr>
            </w:pPr>
          </w:p>
        </w:tc>
        <w:tc>
          <w:tcPr>
            <w:tcW w:w="150" w:type="dxa"/>
            <w:vAlign w:val="center"/>
            <w:hideMark/>
          </w:tcPr>
          <w:p w14:paraId="47C2952A" w14:textId="77777777" w:rsidR="00AA0D20" w:rsidRDefault="00AA0D20">
            <w:pPr>
              <w:rPr>
                <w:rFonts w:ascii="Times New Roman" w:eastAsia="Times New Roman" w:hAnsi="Times New Roman" w:cs="Times New Roman"/>
                <w:sz w:val="20"/>
                <w:szCs w:val="20"/>
              </w:rPr>
            </w:pPr>
          </w:p>
        </w:tc>
      </w:tr>
    </w:tbl>
    <w:p w14:paraId="743F53C2" w14:textId="77777777" w:rsidR="00AA0D20" w:rsidRDefault="00AA0D20" w:rsidP="00AA0D20">
      <w:pPr>
        <w:rPr>
          <w:rFonts w:ascii="Helvetica" w:hAnsi="Helvetica" w:cs="Helvetica"/>
          <w:vanish/>
          <w:color w:val="0B0C0C"/>
          <w:sz w:val="24"/>
          <w:szCs w:val="24"/>
          <w:lang w:val="en"/>
        </w:rPr>
      </w:pPr>
    </w:p>
    <w:tbl>
      <w:tblPr>
        <w:tblW w:w="8700" w:type="dxa"/>
        <w:jc w:val="center"/>
        <w:tblCellMar>
          <w:left w:w="0" w:type="dxa"/>
          <w:right w:w="0" w:type="dxa"/>
        </w:tblCellMar>
        <w:tblLook w:val="04A0" w:firstRow="1" w:lastRow="0" w:firstColumn="1" w:lastColumn="0" w:noHBand="0" w:noVBand="1"/>
      </w:tblPr>
      <w:tblGrid>
        <w:gridCol w:w="150"/>
        <w:gridCol w:w="8400"/>
        <w:gridCol w:w="150"/>
      </w:tblGrid>
      <w:tr w:rsidR="00AA0D20" w14:paraId="447FDA37" w14:textId="77777777" w:rsidTr="00AA0D20">
        <w:trPr>
          <w:trHeight w:val="450"/>
          <w:jc w:val="center"/>
          <w:hidden/>
        </w:trPr>
        <w:tc>
          <w:tcPr>
            <w:tcW w:w="0" w:type="auto"/>
            <w:vAlign w:val="center"/>
            <w:hideMark/>
          </w:tcPr>
          <w:p w14:paraId="3C7D3436" w14:textId="77777777" w:rsidR="00AA0D20" w:rsidRDefault="00AA0D20">
            <w:pPr>
              <w:rPr>
                <w:rFonts w:ascii="Helvetica" w:hAnsi="Helvetica" w:cs="Helvetica"/>
                <w:vanish/>
                <w:color w:val="0B0C0C"/>
                <w:sz w:val="24"/>
                <w:szCs w:val="24"/>
                <w:lang w:val="en"/>
              </w:rPr>
            </w:pPr>
          </w:p>
        </w:tc>
        <w:tc>
          <w:tcPr>
            <w:tcW w:w="630" w:type="dxa"/>
            <w:gridSpan w:val="2"/>
            <w:vAlign w:val="center"/>
            <w:hideMark/>
          </w:tcPr>
          <w:p w14:paraId="2A48C37A" w14:textId="77777777" w:rsidR="00AA0D20" w:rsidRDefault="00AA0D20">
            <w:r>
              <w:t> </w:t>
            </w:r>
          </w:p>
        </w:tc>
      </w:tr>
      <w:tr w:rsidR="00AA0D20" w14:paraId="0A6C9F1C" w14:textId="77777777" w:rsidTr="00AA0D20">
        <w:trPr>
          <w:jc w:val="center"/>
        </w:trPr>
        <w:tc>
          <w:tcPr>
            <w:tcW w:w="150" w:type="dxa"/>
            <w:vAlign w:val="center"/>
            <w:hideMark/>
          </w:tcPr>
          <w:p w14:paraId="77E340FA" w14:textId="77777777" w:rsidR="00AA0D20" w:rsidRDefault="00AA0D20"/>
        </w:tc>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AA0D20" w14:paraId="3386FFCD" w14:textId="77777777">
              <w:trPr>
                <w:jc w:val="center"/>
              </w:trPr>
              <w:tc>
                <w:tcPr>
                  <w:tcW w:w="0" w:type="auto"/>
                  <w:vAlign w:val="center"/>
                  <w:hideMark/>
                </w:tcPr>
                <w:p w14:paraId="64409E38"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09 December – Coronavirus (COVID-19) – URGENT Update to all early years, children’s social care, schools, further education and higher education providers </w:t>
                  </w:r>
                </w:p>
                <w:p w14:paraId="1E02BDA9"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Today’s email includes an urgent update for all education and childcare settings on implementing Plan B of the COVID-19 Response: Autumn and Winter Plan</w:t>
                  </w:r>
                </w:p>
                <w:p w14:paraId="6A32C4C6"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We have discussed this update with ASCL, NAHT and CST and agreed it would be helpful to issue this update first thing this morning</w:t>
                  </w:r>
                </w:p>
                <w:p w14:paraId="38B3CB9A"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Information for all education and childcare settings on implementing Plan B of the COVID-19 Response: Autumn and Winter Plan</w:t>
                  </w:r>
                </w:p>
                <w:p w14:paraId="6496AD75"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On Wednesday 8 December, the Prime Minister announced the implementation of </w:t>
                  </w:r>
                  <w:hyperlink r:id="rId14" w:history="1">
                    <w:r>
                      <w:rPr>
                        <w:rStyle w:val="Hyperlink"/>
                        <w:rFonts w:ascii="Helvetica" w:hAnsi="Helvetica" w:cs="Helvetica"/>
                        <w:color w:val="1D70B8"/>
                        <w:sz w:val="29"/>
                        <w:szCs w:val="29"/>
                      </w:rPr>
                      <w:t>Plan B of the COVID-19 Response: Autumn and Winter Plan</w:t>
                    </w:r>
                  </w:hyperlink>
                  <w:r>
                    <w:rPr>
                      <w:rFonts w:ascii="Helvetica" w:hAnsi="Helvetica" w:cs="Helvetica"/>
                      <w:color w:val="0B0C0C"/>
                      <w:sz w:val="29"/>
                      <w:szCs w:val="29"/>
                    </w:rPr>
                    <w:t>, to reduce pressure on the NHS. Plan B sets out a number of additional measures across society to control transmission of COVID-19.</w:t>
                  </w:r>
                </w:p>
                <w:p w14:paraId="03894B88"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Government is clear on the critical importance of not disrupting the education of children and young people and the Government will prioritise keeping all education and childcare settings open. The measures set out below will support this. </w:t>
                  </w:r>
                </w:p>
                <w:p w14:paraId="452354B5"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Attendance</w:t>
                  </w:r>
                </w:p>
                <w:p w14:paraId="77757559"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School attendance remains mandatory and all the usual rules continue to apply. Enabling children and young people to attend their education setting regularly continues to be a national priority. As usual, schools are able to grant leaves of absence for </w:t>
                  </w:r>
                  <w:r>
                    <w:rPr>
                      <w:rFonts w:ascii="Helvetica" w:hAnsi="Helvetica" w:cs="Helvetica"/>
                      <w:color w:val="0B0C0C"/>
                      <w:sz w:val="29"/>
                      <w:szCs w:val="29"/>
                    </w:rPr>
                    <w:lastRenderedPageBreak/>
                    <w:t xml:space="preserve">pupils in exceptional circumstances. </w:t>
                  </w:r>
                </w:p>
                <w:p w14:paraId="7023D01D"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Face coverings</w:t>
                  </w:r>
                </w:p>
                <w:p w14:paraId="28F3E13F"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Face coverings should be worn by pupils and students in year 7 and above (which would be children who were aged 11 on 31 August 2021), staff and visitors in communal areas, unless exempt. This is a temporary measure. Pupils and students in year 7 and above in these settings must also wear a face covering when travelling on public transport and should wear it on dedicated transport to and from school, college, or higher education provider. </w:t>
                  </w:r>
                </w:p>
                <w:p w14:paraId="2F14F957"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do not recommend that pupils and staff wear face coverings in classrooms, unless their Director of Public Health advises them to temporarily do so in one of the circumstances described in the </w:t>
                  </w:r>
                  <w:hyperlink r:id="rId15" w:history="1">
                    <w:r>
                      <w:rPr>
                        <w:rStyle w:val="Hyperlink"/>
                        <w:rFonts w:ascii="Helvetica" w:hAnsi="Helvetica" w:cs="Helvetica"/>
                        <w:color w:val="1D70B8"/>
                        <w:sz w:val="29"/>
                        <w:szCs w:val="29"/>
                      </w:rPr>
                      <w:t>Contingency Framework Guidance</w:t>
                    </w:r>
                  </w:hyperlink>
                  <w:r>
                    <w:rPr>
                      <w:rFonts w:ascii="Helvetica" w:hAnsi="Helvetica" w:cs="Helvetica"/>
                      <w:color w:val="0B0C0C"/>
                      <w:sz w:val="29"/>
                      <w:szCs w:val="29"/>
                    </w:rPr>
                    <w:t>.</w:t>
                  </w:r>
                </w:p>
                <w:p w14:paraId="52AE5512"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Wrap around provision</w:t>
                  </w:r>
                </w:p>
                <w:p w14:paraId="050284E9"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Schools and early years settings should continue to offer their usual before and after-school activities, including wraparound childcare. These activities provide valuable childcare for working parents and carers and promote the wellbeing of children and young people.</w:t>
                  </w:r>
                </w:p>
                <w:p w14:paraId="4CB18B4D"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Working from home</w:t>
                  </w:r>
                </w:p>
                <w:p w14:paraId="5239ECB4"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Office workers who can work from home should do so from Monday 13 December. Anyone who cannot work from home should continue to go into work – for example, to access equipment necessary for their role or where their role must be completed in-person. In-person working will be necessary in some cases to continue the effective and accessible delivery of some public services and private industries.</w:t>
                  </w:r>
                </w:p>
                <w:p w14:paraId="133A862B"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expect all education and childcare settings, including further </w:t>
                  </w:r>
                  <w:r>
                    <w:rPr>
                      <w:rFonts w:ascii="Helvetica" w:hAnsi="Helvetica" w:cs="Helvetica"/>
                      <w:color w:val="0B0C0C"/>
                      <w:sz w:val="29"/>
                      <w:szCs w:val="29"/>
                    </w:rPr>
                    <w:lastRenderedPageBreak/>
                    <w:t>and higher education providers, to continue to provide face-to-face teaching, and staff should continue to attend their place of work if required in order to deliver this. Teaching and learning should not be moved online as a result of the work from home guidance and we continue to expect higher education students (unless distance learners) to receive an element of face-to-face tuition. Therapists and wider children’s service professionals should continue to be invited into education and childcare settings.</w:t>
                  </w:r>
                </w:p>
                <w:p w14:paraId="4739CBC1"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Education and childcare leaders are best placed to determine the workforce required to meet the needs of their children, pupils and students. Education and childcare leaders will need to consider whether it is possible for specific staff undertaking certain roles to work from home, while minimising disruption to face-to-face education and care.</w:t>
                  </w:r>
                </w:p>
                <w:p w14:paraId="0F4A846E"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Following expert clinical advice and the successful rollout of the COVID-19 vaccine programme, people previously considered to be particularly vulnerable, clinically extremely vulnerable (CEV), and high or higher-risk are not being advised to shield again. </w:t>
                  </w:r>
                </w:p>
                <w:p w14:paraId="38C73738"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Children and young people previously considered CEV should attend their setting and should follow the same </w:t>
                  </w:r>
                  <w:hyperlink r:id="rId16" w:history="1">
                    <w:r>
                      <w:rPr>
                        <w:rStyle w:val="Hyperlink"/>
                        <w:rFonts w:ascii="Helvetica" w:hAnsi="Helvetica" w:cs="Helvetica"/>
                        <w:color w:val="1D70B8"/>
                        <w:sz w:val="29"/>
                        <w:szCs w:val="29"/>
                      </w:rPr>
                      <w:t>COVID-19 guidance</w:t>
                    </w:r>
                  </w:hyperlink>
                  <w:r>
                    <w:rPr>
                      <w:rFonts w:ascii="Helvetica" w:hAnsi="Helvetica" w:cs="Helvetica"/>
                      <w:color w:val="0B0C0C"/>
                      <w:sz w:val="29"/>
                      <w:szCs w:val="29"/>
                    </w:rPr>
                    <w:t xml:space="preserve"> as the rest of the population. In some circumstances, a child or young person may have received personal advice from their specialist or clinician on additional precautions to take and they should continue to follow that advice.</w:t>
                  </w:r>
                </w:p>
                <w:p w14:paraId="4D9E2F38"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Testing</w:t>
                  </w:r>
                </w:p>
                <w:p w14:paraId="488642F2"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strongly encourage all those involved in education and childcare settings to continue regular testing (LFD not PCR) and reporting their results, and to encourage pupils and students in year 7 and above to test and report their results. </w:t>
                  </w:r>
                </w:p>
                <w:p w14:paraId="61C32251"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Settings are strongly encouraged to ask parents, guardians and other visitors to take a lateral flow device (LFD) test before </w:t>
                  </w:r>
                  <w:r>
                    <w:rPr>
                      <w:rFonts w:ascii="Helvetica" w:hAnsi="Helvetica" w:cs="Helvetica"/>
                      <w:color w:val="0B0C0C"/>
                      <w:sz w:val="29"/>
                      <w:szCs w:val="29"/>
                    </w:rPr>
                    <w:lastRenderedPageBreak/>
                    <w:t xml:space="preserve">entering the setting. </w:t>
                  </w:r>
                </w:p>
                <w:p w14:paraId="1608668E"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Isolation</w:t>
                  </w:r>
                </w:p>
                <w:p w14:paraId="5B5302FE"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All individuals who have been identified as a close contact of a suspected or confirmed case of the Omicron variant of COVID-19, irrespective of vaccination status and age, will continue to be required to self-isolate and asked to book a PCR test.</w:t>
                  </w:r>
                </w:p>
                <w:p w14:paraId="1AA6A6F6"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Government plans to introduce Daily Contact Testing as soon as possible as an alternative to self-isolation for contacts of positive Omicron cases who are fully vaccinated or under the age of 18 years and 6 months. </w:t>
                  </w:r>
                </w:p>
                <w:p w14:paraId="065FF94C"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January return</w:t>
                  </w:r>
                </w:p>
                <w:p w14:paraId="2AEB887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continue to learn more about the impacts of the Omicron variant. To prepare for any possible changes in public health advice, all education and childcare settings should now revisit their existing outbreak plans to ensure they are well prepared for any future changes and ensure they are familiar with the </w:t>
                  </w:r>
                  <w:hyperlink r:id="rId17" w:history="1">
                    <w:r>
                      <w:rPr>
                        <w:rStyle w:val="Hyperlink"/>
                        <w:rFonts w:ascii="Helvetica" w:hAnsi="Helvetica" w:cs="Helvetica"/>
                        <w:color w:val="1D70B8"/>
                        <w:sz w:val="29"/>
                        <w:szCs w:val="29"/>
                      </w:rPr>
                      <w:t>Contingency Framework Guidance</w:t>
                    </w:r>
                  </w:hyperlink>
                  <w:r>
                    <w:rPr>
                      <w:rFonts w:ascii="Helvetica" w:hAnsi="Helvetica" w:cs="Helvetica"/>
                      <w:color w:val="0B0C0C"/>
                      <w:sz w:val="29"/>
                      <w:szCs w:val="29"/>
                    </w:rPr>
                    <w:t xml:space="preserve">. </w:t>
                  </w:r>
                </w:p>
                <w:p w14:paraId="28DFFFE0"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Similarly, colleges and higher education providers should review their outbreak plans and ensure that contingency plans are up to date.</w:t>
                  </w:r>
                </w:p>
                <w:p w14:paraId="3467ED65"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There are exams for vocational and technical qualifications timetabled for January. Students who are due to sit these exams will be prepared and it is right that they should be given every opportunity to demonstrate what they have learnt. Exams and formal assessments will go ahead. Consequently, it is essential that students continue to prepare for these assessments. </w:t>
                  </w:r>
                </w:p>
                <w:p w14:paraId="120B1E4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We have recently asked all secondary schools to provide an on-site test for pupils on return in January. Testing in school helps to boost participation and will help reduce transmission after a </w:t>
                  </w:r>
                  <w:r>
                    <w:rPr>
                      <w:rFonts w:ascii="Helvetica" w:hAnsi="Helvetica" w:cs="Helvetica"/>
                      <w:color w:val="0B0C0C"/>
                      <w:sz w:val="29"/>
                      <w:szCs w:val="29"/>
                    </w:rPr>
                    <w:lastRenderedPageBreak/>
                    <w:t xml:space="preserve">period of mixing over the holidays. </w:t>
                  </w:r>
                </w:p>
                <w:p w14:paraId="4F9624F2"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For those in settings closing over Christmas, all staff and students should test over the holidays in line with national guidance. This means that they should test if they will be in a high-risk situation that day and before visiting people who are at higher risk of severe illness if they get COVID-19. </w:t>
                  </w:r>
                </w:p>
                <w:p w14:paraId="4E1441D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For settings remaining open over the Christmas period (such as private nurseries, higher education or adult education providers), staff and students should continue to test at home twice per week over the holiday period. </w:t>
                  </w:r>
                </w:p>
                <w:p w14:paraId="7A2F8EFA"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Further and higher education students, and staff in all educational and childcare settings, should take one self-test at home either the evening or morning before they return in January. Then they should continue to test in line with government guidelines and we recommend all staff and eligible students take up the offer of a vaccine.</w:t>
                  </w:r>
                </w:p>
                <w:p w14:paraId="0D8D08E8"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Inspection</w:t>
                  </w:r>
                </w:p>
                <w:p w14:paraId="769B57F6"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Early years settings, schools and colleges will be using the final days of term to put in place these measures and consider contingency measures for January. In order to do that contingency planning, the Secretary of State for Education and Her Majesty’s Chief Inspector have agreed that early years settings, schools and colleges will not be inspected next week unless there are safeguarding concerns. </w:t>
                  </w:r>
                </w:p>
                <w:p w14:paraId="408A7499"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Ofsted has already confirmed that secondary schools will not be inspected, unless there are urgent concerns, during the first week of schools’ return in January, in light of the onsite pupil testing that secondary schools will be undertaking that week. Ofsted inspections will continue to play an important role in providing independent assurance as schools and colleges continue to respond to the pandemic. </w:t>
                  </w:r>
                </w:p>
                <w:p w14:paraId="1AA7F1B8"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lastRenderedPageBreak/>
                    <w:t>Ofsted visits for Children’s Social Care, local authority SEND services and joint targeted area inspections will continue.</w:t>
                  </w:r>
                </w:p>
                <w:p w14:paraId="37F0D50B" w14:textId="77777777" w:rsidR="00AA0D20" w:rsidRDefault="00AA0D20">
                  <w:pPr>
                    <w:jc w:val="center"/>
                    <w:rPr>
                      <w:rFonts w:ascii="Helvetica" w:eastAsia="Times New Roman" w:hAnsi="Helvetica" w:cs="Helvetica"/>
                      <w:sz w:val="29"/>
                      <w:szCs w:val="29"/>
                    </w:rPr>
                  </w:pPr>
                  <w:r>
                    <w:rPr>
                      <w:rFonts w:ascii="Helvetica" w:eastAsia="Times New Roman" w:hAnsi="Helvetica" w:cs="Helvetica"/>
                      <w:sz w:val="29"/>
                      <w:szCs w:val="29"/>
                    </w:rPr>
                    <w:pict w14:anchorId="00B6C3C0">
                      <v:rect id="_x0000_i1027" style="width:468pt;height:.75pt" o:hralign="center" o:hrstd="t" o:hr="t" fillcolor="#a0a0a0" stroked="f"/>
                    </w:pict>
                  </w:r>
                </w:p>
                <w:p w14:paraId="2D29DF7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The information below has not changed since our last update</w:t>
                  </w:r>
                </w:p>
                <w:p w14:paraId="3A6F85BE" w14:textId="77777777" w:rsidR="00AA0D20" w:rsidRDefault="00AA0D20">
                  <w:pPr>
                    <w:jc w:val="center"/>
                    <w:rPr>
                      <w:rFonts w:ascii="Helvetica" w:eastAsia="Times New Roman" w:hAnsi="Helvetica" w:cs="Helvetica"/>
                      <w:sz w:val="29"/>
                      <w:szCs w:val="29"/>
                    </w:rPr>
                  </w:pPr>
                  <w:r>
                    <w:rPr>
                      <w:rFonts w:ascii="Helvetica" w:eastAsia="Times New Roman" w:hAnsi="Helvetica" w:cs="Helvetica"/>
                      <w:sz w:val="29"/>
                      <w:szCs w:val="29"/>
                    </w:rPr>
                    <w:pict w14:anchorId="7E805937">
                      <v:rect id="_x0000_i1028" style="width:468pt;height:.75pt" o:hralign="center" o:hrstd="t" o:hr="t" fillcolor="#a0a0a0" stroked="f"/>
                    </w:pict>
                  </w:r>
                </w:p>
                <w:p w14:paraId="636AA0DD"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Department for Education COVID-19 helpline</w:t>
                  </w:r>
                </w:p>
                <w:p w14:paraId="0CAA2C22"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The </w:t>
                  </w:r>
                  <w:hyperlink r:id="rId18" w:history="1">
                    <w:r>
                      <w:rPr>
                        <w:rStyle w:val="Hyperlink"/>
                        <w:rFonts w:ascii="Helvetica" w:hAnsi="Helvetica" w:cs="Helvetica"/>
                        <w:color w:val="1D70B8"/>
                        <w:sz w:val="29"/>
                        <w:szCs w:val="29"/>
                      </w:rPr>
                      <w:t>Department for Education COVID-19 helpline</w:t>
                    </w:r>
                  </w:hyperlink>
                  <w:r>
                    <w:rPr>
                      <w:rFonts w:ascii="Helvetica" w:hAnsi="Helvetica" w:cs="Helvetica"/>
                      <w:color w:val="0B0C0C"/>
                      <w:sz w:val="29"/>
                      <w:szCs w:val="29"/>
                    </w:rPr>
                    <w:t xml:space="preserve"> and the UK Health Security Agency (UKHSA) Advice Service, (formally the Public Health England (PHE) Advice Service) are available to answer any questions you have about COVID-19 relating to education and childcare settings and children’s social care. </w:t>
                  </w:r>
                </w:p>
                <w:p w14:paraId="776BD2C4"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Department for Education guidance</w:t>
                  </w:r>
                </w:p>
                <w:p w14:paraId="7E818EC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Our guidance to support education and childcare providers, local authorities and parents during the COVID-19 pandemic can be accessed using the links below: </w:t>
                  </w:r>
                </w:p>
                <w:tbl>
                  <w:tblPr>
                    <w:tblW w:w="0" w:type="auto"/>
                    <w:tblCellSpacing w:w="15" w:type="dxa"/>
                    <w:tblCellMar>
                      <w:left w:w="0" w:type="dxa"/>
                      <w:right w:w="0" w:type="dxa"/>
                    </w:tblCellMar>
                    <w:tblLook w:val="04A0" w:firstRow="1" w:lastRow="0" w:firstColumn="1" w:lastColumn="0" w:noHBand="0" w:noVBand="1"/>
                  </w:tblPr>
                  <w:tblGrid>
                    <w:gridCol w:w="8400"/>
                  </w:tblGrid>
                  <w:tr w:rsidR="00AA0D20" w14:paraId="4B83A224" w14:textId="77777777">
                    <w:trPr>
                      <w:tblCellSpacing w:w="15" w:type="dxa"/>
                    </w:trPr>
                    <w:tc>
                      <w:tcPr>
                        <w:tcW w:w="0" w:type="auto"/>
                        <w:tcMar>
                          <w:top w:w="0" w:type="dxa"/>
                          <w:left w:w="0" w:type="dxa"/>
                          <w:bottom w:w="300" w:type="dxa"/>
                          <w:right w:w="0" w:type="dxa"/>
                        </w:tcMar>
                        <w:vAlign w:val="center"/>
                        <w:hideMark/>
                      </w:tcPr>
                      <w:p w14:paraId="4B505A5D"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19" w:history="1">
                          <w:r>
                            <w:rPr>
                              <w:rStyle w:val="Hyperlink"/>
                              <w:rFonts w:ascii="Helvetica" w:hAnsi="Helvetica" w:cs="Helvetica"/>
                              <w:color w:val="1D70B8"/>
                              <w:sz w:val="29"/>
                              <w:szCs w:val="29"/>
                            </w:rPr>
                            <w:t>Guidance for early years and childcare providers</w:t>
                          </w:r>
                        </w:hyperlink>
                      </w:p>
                      <w:p w14:paraId="64A7806B"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20" w:history="1">
                          <w:r>
                            <w:rPr>
                              <w:rStyle w:val="Hyperlink"/>
                              <w:rFonts w:ascii="Helvetica" w:hAnsi="Helvetica" w:cs="Helvetica"/>
                              <w:color w:val="1D70B8"/>
                              <w:sz w:val="29"/>
                              <w:szCs w:val="29"/>
                            </w:rPr>
                            <w:t>Guidance for schools</w:t>
                          </w:r>
                        </w:hyperlink>
                      </w:p>
                      <w:p w14:paraId="08F67286"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21" w:history="1">
                          <w:r>
                            <w:rPr>
                              <w:rStyle w:val="Hyperlink"/>
                              <w:rFonts w:ascii="Helvetica" w:hAnsi="Helvetica" w:cs="Helvetica"/>
                              <w:color w:val="1D70B8"/>
                              <w:sz w:val="29"/>
                              <w:szCs w:val="29"/>
                            </w:rPr>
                            <w:t>Guidance for further and higher education providers</w:t>
                          </w:r>
                        </w:hyperlink>
                      </w:p>
                      <w:p w14:paraId="71943680"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22" w:history="1">
                          <w:r>
                            <w:rPr>
                              <w:rStyle w:val="Hyperlink"/>
                              <w:rFonts w:ascii="Helvetica" w:hAnsi="Helvetica" w:cs="Helvetica"/>
                              <w:color w:val="1D70B8"/>
                              <w:sz w:val="29"/>
                              <w:szCs w:val="29"/>
                            </w:rPr>
                            <w:t>Guidance for local authority children’s services</w:t>
                          </w:r>
                        </w:hyperlink>
                      </w:p>
                      <w:p w14:paraId="5DFBB2B3"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23" w:history="1">
                          <w:r>
                            <w:rPr>
                              <w:rStyle w:val="Hyperlink"/>
                              <w:rFonts w:ascii="Helvetica" w:hAnsi="Helvetica" w:cs="Helvetica"/>
                              <w:color w:val="1D70B8"/>
                              <w:sz w:val="29"/>
                              <w:szCs w:val="29"/>
                            </w:rPr>
                            <w:t>Guidance for special schools and other specialist settings</w:t>
                          </w:r>
                        </w:hyperlink>
                      </w:p>
                      <w:p w14:paraId="1C0373F1" w14:textId="77777777" w:rsidR="00AA0D20" w:rsidRDefault="00AA0D20" w:rsidP="00765D66">
                        <w:pPr>
                          <w:numPr>
                            <w:ilvl w:val="0"/>
                            <w:numId w:val="1"/>
                          </w:numPr>
                          <w:spacing w:before="75" w:after="75" w:line="375" w:lineRule="atLeast"/>
                          <w:ind w:left="1080"/>
                          <w:rPr>
                            <w:rFonts w:ascii="Helvetica" w:hAnsi="Helvetica" w:cs="Helvetica"/>
                            <w:color w:val="0B0C0C"/>
                            <w:sz w:val="29"/>
                            <w:szCs w:val="29"/>
                          </w:rPr>
                        </w:pPr>
                        <w:hyperlink r:id="rId24" w:history="1">
                          <w:r>
                            <w:rPr>
                              <w:rStyle w:val="Hyperlink"/>
                              <w:rFonts w:ascii="Helvetica" w:hAnsi="Helvetica" w:cs="Helvetica"/>
                              <w:color w:val="1D70B8"/>
                              <w:sz w:val="29"/>
                              <w:szCs w:val="29"/>
                            </w:rPr>
                            <w:t>Guidance for parents and carers</w:t>
                          </w:r>
                        </w:hyperlink>
                      </w:p>
                    </w:tc>
                  </w:tr>
                </w:tbl>
                <w:p w14:paraId="13F024C2" w14:textId="77777777" w:rsidR="00AA0D20" w:rsidRDefault="00AA0D20">
                  <w:pPr>
                    <w:pStyle w:val="Heading2"/>
                    <w:spacing w:before="0" w:beforeAutospacing="0" w:after="300" w:afterAutospacing="0" w:line="525" w:lineRule="atLeast"/>
                    <w:rPr>
                      <w:rFonts w:ascii="Helvetica" w:eastAsia="Times New Roman" w:hAnsi="Helvetica" w:cs="Helvetica"/>
                      <w:color w:val="0B0C0C"/>
                      <w:sz w:val="41"/>
                      <w:szCs w:val="41"/>
                    </w:rPr>
                  </w:pPr>
                  <w:r>
                    <w:rPr>
                      <w:rFonts w:ascii="Helvetica" w:eastAsia="Times New Roman" w:hAnsi="Helvetica" w:cs="Helvetica"/>
                      <w:color w:val="0B0C0C"/>
                      <w:sz w:val="41"/>
                      <w:szCs w:val="41"/>
                    </w:rPr>
                    <w:t>Subscribe/Unsubscribe from this email</w:t>
                  </w:r>
                </w:p>
                <w:p w14:paraId="7EBEEC9B"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This is your email to keep you updated on the government’s response to coronavirus (COVID-19). If you have colleagues who would like to receive this email directly, please ask them to use </w:t>
                  </w:r>
                  <w:r>
                    <w:rPr>
                      <w:rFonts w:ascii="Helvetica" w:hAnsi="Helvetica" w:cs="Helvetica"/>
                      <w:color w:val="0B0C0C"/>
                      <w:sz w:val="29"/>
                      <w:szCs w:val="29"/>
                    </w:rPr>
                    <w:lastRenderedPageBreak/>
                    <w:t xml:space="preserve">this </w:t>
                  </w:r>
                  <w:hyperlink r:id="rId25" w:history="1">
                    <w:r>
                      <w:rPr>
                        <w:rStyle w:val="Hyperlink"/>
                        <w:rFonts w:ascii="Helvetica" w:hAnsi="Helvetica" w:cs="Helvetica"/>
                        <w:color w:val="1D70B8"/>
                        <w:sz w:val="29"/>
                        <w:szCs w:val="29"/>
                      </w:rPr>
                      <w:t>subscription form</w:t>
                    </w:r>
                  </w:hyperlink>
                  <w:r>
                    <w:rPr>
                      <w:rFonts w:ascii="Helvetica" w:hAnsi="Helvetica" w:cs="Helvetica"/>
                      <w:color w:val="0B0C0C"/>
                      <w:sz w:val="29"/>
                      <w:szCs w:val="29"/>
                    </w:rPr>
                    <w:t>.</w:t>
                  </w:r>
                </w:p>
                <w:p w14:paraId="7D87F71B"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You will continue to receive this email if you have supplied your contact information as part of your formal Department for Education establishment record (for example, in get information about schools) or you are registered as a team leader in the Test and Trace service.</w:t>
                  </w:r>
                </w:p>
                <w:p w14:paraId="641FD04D" w14:textId="77777777" w:rsidR="00AA0D20" w:rsidRDefault="00AA0D20">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If your contact information is not held formally by us, you can unsubscribe using this </w:t>
                  </w:r>
                  <w:hyperlink r:id="rId26" w:history="1">
                    <w:r>
                      <w:rPr>
                        <w:rStyle w:val="Hyperlink"/>
                        <w:rFonts w:ascii="Helvetica" w:hAnsi="Helvetica" w:cs="Helvetica"/>
                        <w:color w:val="1D70B8"/>
                        <w:sz w:val="29"/>
                        <w:szCs w:val="29"/>
                      </w:rPr>
                      <w:t>unsubscribe form</w:t>
                    </w:r>
                  </w:hyperlink>
                  <w:r>
                    <w:rPr>
                      <w:rFonts w:ascii="Helvetica" w:hAnsi="Helvetica" w:cs="Helvetica"/>
                      <w:color w:val="0B0C0C"/>
                      <w:sz w:val="29"/>
                      <w:szCs w:val="29"/>
                    </w:rPr>
                    <w:t>.</w:t>
                  </w:r>
                </w:p>
              </w:tc>
            </w:tr>
          </w:tbl>
          <w:p w14:paraId="5D102F8A" w14:textId="77777777" w:rsidR="00AA0D20" w:rsidRDefault="00AA0D20">
            <w:pPr>
              <w:jc w:val="center"/>
              <w:rPr>
                <w:rFonts w:ascii="Times New Roman" w:eastAsia="Times New Roman" w:hAnsi="Times New Roman" w:cs="Times New Roman"/>
                <w:sz w:val="20"/>
                <w:szCs w:val="20"/>
              </w:rPr>
            </w:pPr>
          </w:p>
        </w:tc>
        <w:tc>
          <w:tcPr>
            <w:tcW w:w="150" w:type="dxa"/>
            <w:vAlign w:val="center"/>
            <w:hideMark/>
          </w:tcPr>
          <w:p w14:paraId="50FCB9B1" w14:textId="77777777" w:rsidR="00AA0D20" w:rsidRDefault="00AA0D20">
            <w:pPr>
              <w:rPr>
                <w:rFonts w:ascii="Times New Roman" w:eastAsia="Times New Roman" w:hAnsi="Times New Roman" w:cs="Times New Roman"/>
                <w:sz w:val="20"/>
                <w:szCs w:val="20"/>
              </w:rPr>
            </w:pPr>
          </w:p>
        </w:tc>
      </w:tr>
      <w:tr w:rsidR="00AA0D20" w14:paraId="5B0B713D" w14:textId="77777777" w:rsidTr="00AA0D20">
        <w:trPr>
          <w:trHeight w:val="450"/>
          <w:jc w:val="center"/>
        </w:trPr>
        <w:tc>
          <w:tcPr>
            <w:tcW w:w="0" w:type="auto"/>
            <w:vAlign w:val="center"/>
            <w:hideMark/>
          </w:tcPr>
          <w:p w14:paraId="0420A68E" w14:textId="77777777" w:rsidR="00AA0D20" w:rsidRDefault="00AA0D20">
            <w:pPr>
              <w:rPr>
                <w:rFonts w:ascii="Times New Roman" w:eastAsia="Times New Roman" w:hAnsi="Times New Roman" w:cs="Times New Roman"/>
                <w:sz w:val="20"/>
                <w:szCs w:val="20"/>
              </w:rPr>
            </w:pPr>
          </w:p>
        </w:tc>
        <w:tc>
          <w:tcPr>
            <w:tcW w:w="0" w:type="auto"/>
            <w:vAlign w:val="center"/>
            <w:hideMark/>
          </w:tcPr>
          <w:p w14:paraId="73A23D98" w14:textId="77777777" w:rsidR="00AA0D20" w:rsidRDefault="00AA0D20">
            <w:pPr>
              <w:rPr>
                <w:rFonts w:ascii="Times New Roman" w:eastAsia="Times New Roman" w:hAnsi="Times New Roman" w:cs="Times New Roman"/>
                <w:sz w:val="20"/>
                <w:szCs w:val="20"/>
              </w:rPr>
            </w:pPr>
          </w:p>
        </w:tc>
        <w:tc>
          <w:tcPr>
            <w:tcW w:w="0" w:type="auto"/>
            <w:vAlign w:val="center"/>
            <w:hideMark/>
          </w:tcPr>
          <w:p w14:paraId="3221F046" w14:textId="77777777" w:rsidR="00AA0D20" w:rsidRDefault="00AA0D20">
            <w:pPr>
              <w:rPr>
                <w:rFonts w:ascii="Times New Roman" w:eastAsia="Times New Roman" w:hAnsi="Times New Roman" w:cs="Times New Roman"/>
                <w:sz w:val="20"/>
                <w:szCs w:val="20"/>
              </w:rPr>
            </w:pPr>
          </w:p>
        </w:tc>
      </w:tr>
    </w:tbl>
    <w:p w14:paraId="7DFE0BA7" w14:textId="77777777" w:rsidR="009837CD" w:rsidRDefault="00F83147"/>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D5ECB"/>
    <w:multiLevelType w:val="multilevel"/>
    <w:tmpl w:val="B2C4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20"/>
    <w:rsid w:val="002C20D9"/>
    <w:rsid w:val="00AA0D20"/>
    <w:rsid w:val="00AF74B7"/>
    <w:rsid w:val="00F8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7A7D"/>
  <w15:chartTrackingRefBased/>
  <w15:docId w15:val="{5C341C80-9C34-46C4-A1EA-49EA7669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20"/>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AA0D2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A0D20"/>
    <w:rPr>
      <w:rFonts w:ascii="Calibri" w:hAnsi="Calibri" w:cs="Calibri"/>
      <w:b/>
      <w:bCs/>
      <w:sz w:val="36"/>
      <w:szCs w:val="36"/>
      <w:lang w:eastAsia="en-GB"/>
    </w:rPr>
  </w:style>
  <w:style w:type="character" w:styleId="Hyperlink">
    <w:name w:val="Hyperlink"/>
    <w:basedOn w:val="DefaultParagraphFont"/>
    <w:uiPriority w:val="99"/>
    <w:semiHidden/>
    <w:unhideWhenUsed/>
    <w:rsid w:val="00AA0D20"/>
    <w:rPr>
      <w:color w:val="0000FF"/>
      <w:u w:val="single"/>
    </w:rPr>
  </w:style>
  <w:style w:type="paragraph" w:styleId="NormalWeb">
    <w:name w:val="Normal (Web)"/>
    <w:basedOn w:val="Normal"/>
    <w:uiPriority w:val="99"/>
    <w:semiHidden/>
    <w:unhideWhenUsed/>
    <w:rsid w:val="00AA0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for-contacts-of-people-with-possible-or-confirmed-coronavirus-covid-19-infection-who-do-not-live-with-the-person?utm_medium=email&amp;utm_campaign=govuk-notifications&amp;utm_source=e04fcace-982d-480c-9d1d-42be962aa4ed&amp;utm_content=daily" TargetMode="External"/><Relationship Id="rId13" Type="http://schemas.openxmlformats.org/officeDocument/2006/relationships/image" Target="media/image2.png"/><Relationship Id="rId18" Type="http://schemas.openxmlformats.org/officeDocument/2006/relationships/hyperlink" Target="https://www.gov.uk/contact-dfe?utm_source=7%20December%202021%20C19&amp;utm_medium=Daily%20Email%20C19&amp;utm_campaign=DfE%20C19" TargetMode="External"/><Relationship Id="rId26" Type="http://schemas.openxmlformats.org/officeDocument/2006/relationships/hyperlink" Target="https://forms.office.com/Pages/ResponsePage.aspx?id=yXfS-grGoU2187O4s0qC-QqN_lFznWdElvOZAsgLa61UQVY5MExYSTNYWkhCRFVGMVFQVlM0VjlDNS4u&amp;fsw=0" TargetMode="External"/><Relationship Id="rId3" Type="http://schemas.openxmlformats.org/officeDocument/2006/relationships/settings" Target="settings.xml"/><Relationship Id="rId21" Type="http://schemas.openxmlformats.org/officeDocument/2006/relationships/hyperlink" Target="https://www.gov.uk/government/collections/further-and-higher-education-coronavirus-covid-19?utm_source=8%20December%202021%20C19&amp;utm_medium=Daily%20Email%20C19&amp;utm_campaign=DfE%20C19" TargetMode="External"/><Relationship Id="rId7" Type="http://schemas.openxmlformats.org/officeDocument/2006/relationships/hyperlink" Target="https://www.gov.uk/guidance/check-a-previous-coronavirus-job-retention-scheme-claim?utm_medium=email&amp;utm_campaign=govuk-notifications&amp;utm_source=d4e1fd9a-35ab-4f3b-aa59-0f438b846859&amp;utm_content=daily" TargetMode="External"/><Relationship Id="rId12" Type="http://schemas.openxmlformats.org/officeDocument/2006/relationships/image" Target="media/image1.png"/><Relationship Id="rId17" Type="http://schemas.openxmlformats.org/officeDocument/2006/relationships/hyperlink" Target="https://www.gov.uk/government/publications/coronavirus-covid-19-local-restrictions-in-education-and-childcare-settings/contingency-framework-education-and-childcare-settings?utm_source=7%20December%202021%20C19&amp;utm_medium=Daily%20Email%20C19&amp;utm_campaign=DfE%20C19" TargetMode="External"/><Relationship Id="rId25" Type="http://schemas.openxmlformats.org/officeDocument/2006/relationships/hyperlink" Target="https://forms.office.com/Pages/ResponsePage.aspx?id=yXfS-grGoU2187O4s0qC-QqN_lFznWdElvOZAsgLa61UMlVaSEZWQVA3RDE1VU05SlVOQVFDNVlINy4u" TargetMode="External"/><Relationship Id="rId2" Type="http://schemas.openxmlformats.org/officeDocument/2006/relationships/styles" Target="styles.xml"/><Relationship Id="rId16" Type="http://schemas.openxmlformats.org/officeDocument/2006/relationships/hyperlink" Target="https://www.gov.uk/coronavirus?utm_source=7%20December%202021%20C19&amp;utm_medium=Daily%20Email%20C19&amp;utm_campaign=DfE%25" TargetMode="External"/><Relationship Id="rId20" Type="http://schemas.openxmlformats.org/officeDocument/2006/relationships/hyperlink" Target="https://www.gov.uk/government/collections/guidance-for-schools-coronavirus-covid-19?utm_source=8%20December%202021%20C19&amp;utm_medium=Daily%20Email%20C19&amp;utm_campaign=DfE%20C19" TargetMode="External"/><Relationship Id="rId1" Type="http://schemas.openxmlformats.org/officeDocument/2006/relationships/numbering" Target="numbering.xml"/><Relationship Id="rId6" Type="http://schemas.openxmlformats.org/officeDocument/2006/relationships/hyperlink" Target="https://www.gov.uk/guidance/pay-coronavirus-job-retention-scheme-grants-back?utm_medium=email&amp;utm_campaign=govuk-notifications&amp;utm_source=70d5d954-6f25-4cd2-9029-12bb5e237a32&amp;utm_content=daily" TargetMode="External"/><Relationship Id="rId11" Type="http://schemas.openxmlformats.org/officeDocument/2006/relationships/hyperlink" Target="mailto:dfe.information@notifications.service.gov.uk" TargetMode="External"/><Relationship Id="rId24" Type="http://schemas.openxmlformats.org/officeDocument/2006/relationships/hyperlink" Target="https://www.gov.uk/government/publications/what-parents-and-carers-need-to-know-about-early-years-providers-schools-and-colleges-during-the-coronavirus-covid-19-outbreak?utm_source=8%20December%202021%20C19&amp;utm_medium=Daily%20Email%20C19&amp;utm_campaign=DfE%20C19" TargetMode="External"/><Relationship Id="rId5" Type="http://schemas.openxmlformats.org/officeDocument/2006/relationships/hyperlink" Target="https://www.gov.uk/government/publications/coronavirus-covid-19-early-years-and-childcare-closures?utm_medium=email&amp;utm_campaign=govuk-notifications&amp;utm_source=f36a6018-b739-4b92-98e4-b1be62b0cadc&amp;utm_content=daily" TargetMode="External"/><Relationship Id="rId15" Type="http://schemas.openxmlformats.org/officeDocument/2006/relationships/hyperlink" Target="https://www.gov.uk/government/publications/coronavirus-covid-19-local-restrictions-in-education-and-childcare-settings/contingency-framework-education-and-childcare-settings?utm_source=7%20December%202021%20C19&amp;utm_medium=Daily%20Email%20C19&amp;utm_campaign=DfE%20C19" TargetMode="External"/><Relationship Id="rId23" Type="http://schemas.openxmlformats.org/officeDocument/2006/relationships/hyperlink" Target="https://www.gov.uk/government/publications/guidance-for-full-opening-special-schools-and-other-specialist-settings?utm_source=8%20December%202021%20C19&amp;utm_medium=Daily%20Email%20C19&amp;utm_campaign=DfE%20C19" TargetMode="External"/><Relationship Id="rId28" Type="http://schemas.openxmlformats.org/officeDocument/2006/relationships/theme" Target="theme/theme1.xml"/><Relationship Id="rId10"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739dc223-2d03-4df8-b531-fcc101a832dd&amp;utm_content=daily" TargetMode="External"/><Relationship Id="rId19" Type="http://schemas.openxmlformats.org/officeDocument/2006/relationships/hyperlink" Target="https://www.gov.uk/government/collections/early-years-and-childcare-coronavirus-covid-19?utm_source=8%20December%202021%20C19&amp;utm_medium=Daily%20Email%20C19&amp;utm_campaign=DfE%20C19" TargetMode="External"/><Relationship Id="rId4" Type="http://schemas.openxmlformats.org/officeDocument/2006/relationships/webSettings" Target="webSettings.xml"/><Relationship Id="rId9" Type="http://schemas.openxmlformats.org/officeDocument/2006/relationships/hyperlink" Target="https://www.gov.uk/government/publications/coronavirus-covid-19-local-restrictions-in-education-and-childcare-settings?utm_medium=email&amp;utm_campaign=govuk-notifications&amp;utm_source=ee821183-540a-4890-af18-10201fedfb26&amp;utm_content=daily" TargetMode="External"/><Relationship Id="rId14" Type="http://schemas.openxmlformats.org/officeDocument/2006/relationships/hyperlink" Target="https://www.gov.uk/government/publications/covid-19-response-autumn-and-winter-plan-2021?utm_source=7%20December%202021%20C19&amp;utm_medium=Daily%20Email%20C19&amp;utm_campaign=DfE%20C19" TargetMode="External"/><Relationship Id="rId22" Type="http://schemas.openxmlformats.org/officeDocument/2006/relationships/hyperlink" Target="https://www.gov.uk/government/collections/local-authority-childrens-services-coronavirus-covid-19?utm_source=8%20December%202021%20C19&amp;utm_medium=Daily%20Email%20C19&amp;utm_campaign=DfE%20C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2</cp:revision>
  <dcterms:created xsi:type="dcterms:W3CDTF">2022-01-18T10:54:00Z</dcterms:created>
  <dcterms:modified xsi:type="dcterms:W3CDTF">2022-01-18T10:55:00Z</dcterms:modified>
</cp:coreProperties>
</file>