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FA140" w14:textId="32C40ACA" w:rsidR="00644D1A" w:rsidRDefault="00644D1A" w:rsidP="00644D1A">
      <w:pPr>
        <w:pStyle w:val="Heading1"/>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3"/>
        <w:gridCol w:w="7479"/>
      </w:tblGrid>
      <w:tr w:rsidR="00644D1A" w:rsidRPr="00A36825" w14:paraId="0C0A9196" w14:textId="77777777" w:rsidTr="00985DA5">
        <w:tc>
          <w:tcPr>
            <w:tcW w:w="1809" w:type="dxa"/>
          </w:tcPr>
          <w:p w14:paraId="5679DF41" w14:textId="77777777" w:rsidR="00644D1A" w:rsidRDefault="00644D1A" w:rsidP="00985DA5">
            <w:pPr>
              <w:pStyle w:val="Heading2"/>
            </w:pPr>
            <w:r>
              <w:t>subject:</w:t>
            </w:r>
          </w:p>
        </w:tc>
        <w:tc>
          <w:tcPr>
            <w:tcW w:w="8329" w:type="dxa"/>
          </w:tcPr>
          <w:p w14:paraId="1C7693A3" w14:textId="2BBD5BB0" w:rsidR="00644D1A" w:rsidRDefault="00D257E4" w:rsidP="00D62495">
            <w:pPr>
              <w:pStyle w:val="BodyTextTable"/>
            </w:pPr>
            <w:r>
              <w:t xml:space="preserve">General </w:t>
            </w:r>
            <w:r w:rsidR="006C3EA3">
              <w:t>Schools Budget Update</w:t>
            </w:r>
            <w:r w:rsidR="00644D1A">
              <w:t xml:space="preserve">  </w:t>
            </w:r>
          </w:p>
        </w:tc>
      </w:tr>
    </w:tbl>
    <w:p w14:paraId="0C7FD1E8" w14:textId="77777777" w:rsidR="00644D1A" w:rsidRDefault="00644D1A" w:rsidP="00644D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9"/>
        <w:gridCol w:w="7473"/>
      </w:tblGrid>
      <w:tr w:rsidR="00644D1A" w14:paraId="031459EA" w14:textId="77777777" w:rsidTr="00985DA5">
        <w:tc>
          <w:tcPr>
            <w:tcW w:w="1809" w:type="dxa"/>
          </w:tcPr>
          <w:p w14:paraId="1EA45D6B" w14:textId="1CB6609F" w:rsidR="00644D1A" w:rsidRDefault="00644D1A" w:rsidP="00985DA5">
            <w:pPr>
              <w:pStyle w:val="Heading2"/>
            </w:pPr>
            <w:r>
              <w:t>author</w:t>
            </w:r>
            <w:r w:rsidR="00526F81">
              <w:t>S</w:t>
            </w:r>
            <w:r>
              <w:t>:</w:t>
            </w:r>
          </w:p>
        </w:tc>
        <w:tc>
          <w:tcPr>
            <w:tcW w:w="8329" w:type="dxa"/>
          </w:tcPr>
          <w:p w14:paraId="22A084D3" w14:textId="2B15763B" w:rsidR="00336E80" w:rsidRDefault="006C3EA3" w:rsidP="002E324C">
            <w:pPr>
              <w:pStyle w:val="BodyTextTable"/>
            </w:pPr>
            <w:r>
              <w:t>Karen Stone, Interim Finance Business Partner (Children’s, Young People and Education)</w:t>
            </w:r>
          </w:p>
        </w:tc>
      </w:tr>
      <w:tr w:rsidR="00644D1A" w:rsidRPr="00A36825" w14:paraId="7C422EC6" w14:textId="77777777" w:rsidTr="00985DA5">
        <w:tc>
          <w:tcPr>
            <w:tcW w:w="1809" w:type="dxa"/>
          </w:tcPr>
          <w:p w14:paraId="3ECA0F85" w14:textId="77777777" w:rsidR="00644D1A" w:rsidRDefault="00644D1A" w:rsidP="00985DA5">
            <w:pPr>
              <w:pStyle w:val="Heading2"/>
            </w:pPr>
            <w:r>
              <w:t>date:</w:t>
            </w:r>
          </w:p>
        </w:tc>
        <w:tc>
          <w:tcPr>
            <w:tcW w:w="8329" w:type="dxa"/>
          </w:tcPr>
          <w:p w14:paraId="68C22CEB" w14:textId="3E0ADD66" w:rsidR="00644D1A" w:rsidRDefault="006C3EA3" w:rsidP="002E324C">
            <w:pPr>
              <w:pStyle w:val="BodyTextTable"/>
            </w:pPr>
            <w:r>
              <w:t>July 2020</w:t>
            </w:r>
          </w:p>
        </w:tc>
      </w:tr>
    </w:tbl>
    <w:p w14:paraId="1209685B" w14:textId="77777777" w:rsidR="00644D1A" w:rsidRDefault="00644D1A" w:rsidP="00644D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7492"/>
      </w:tblGrid>
      <w:tr w:rsidR="00644D1A" w:rsidRPr="00A36825" w14:paraId="52778E7D" w14:textId="77777777" w:rsidTr="00807DDC">
        <w:tc>
          <w:tcPr>
            <w:tcW w:w="9242" w:type="dxa"/>
            <w:gridSpan w:val="2"/>
          </w:tcPr>
          <w:p w14:paraId="0DF51971" w14:textId="77777777" w:rsidR="00644D1A" w:rsidRDefault="00644D1A" w:rsidP="00985DA5">
            <w:pPr>
              <w:pStyle w:val="Heading2"/>
            </w:pPr>
            <w:r>
              <w:t>summary OF REPORT:</w:t>
            </w:r>
          </w:p>
          <w:p w14:paraId="0EDDC83D" w14:textId="319592DF" w:rsidR="00644D1A" w:rsidRDefault="006C3EA3" w:rsidP="00985DA5">
            <w:pPr>
              <w:rPr>
                <w:rFonts w:ascii="Arial" w:hAnsi="Arial" w:cs="Arial"/>
              </w:rPr>
            </w:pPr>
            <w:r>
              <w:rPr>
                <w:rFonts w:ascii="Arial" w:hAnsi="Arial" w:cs="Arial"/>
              </w:rPr>
              <w:t>General updates on the Dedicated Schools Grant (DSG): 2019-20 outturn, 2020-21 Budget, and 2021-22 Budget</w:t>
            </w:r>
            <w:r w:rsidR="00C3096B">
              <w:rPr>
                <w:rFonts w:ascii="Arial" w:hAnsi="Arial" w:cs="Arial"/>
              </w:rPr>
              <w:t>.</w:t>
            </w:r>
          </w:p>
          <w:p w14:paraId="6D578ADF" w14:textId="77777777" w:rsidR="00644D1A" w:rsidRDefault="00644D1A" w:rsidP="00433AA5"/>
        </w:tc>
      </w:tr>
      <w:tr w:rsidR="00807DDC" w:rsidRPr="00A36825" w14:paraId="093C4920" w14:textId="77777777" w:rsidTr="00807DDC">
        <w:tc>
          <w:tcPr>
            <w:tcW w:w="1750" w:type="dxa"/>
          </w:tcPr>
          <w:p w14:paraId="4FA22674" w14:textId="77777777" w:rsidR="00807DDC" w:rsidRDefault="00807DDC" w:rsidP="00BB2904">
            <w:pPr>
              <w:pStyle w:val="Heading2"/>
            </w:pPr>
            <w:r>
              <w:t>FOR:</w:t>
            </w:r>
          </w:p>
        </w:tc>
        <w:tc>
          <w:tcPr>
            <w:tcW w:w="7492" w:type="dxa"/>
          </w:tcPr>
          <w:p w14:paraId="1AAA1034" w14:textId="460CF39D" w:rsidR="00807DDC" w:rsidRDefault="006C3EA3" w:rsidP="00A027F5">
            <w:pPr>
              <w:pStyle w:val="BodyTextTable"/>
            </w:pPr>
            <w:r>
              <w:t>For Information</w:t>
            </w:r>
          </w:p>
        </w:tc>
      </w:tr>
    </w:tbl>
    <w:p w14:paraId="68CE06DF" w14:textId="77777777" w:rsidR="00644D1A" w:rsidRDefault="00644D1A" w:rsidP="00644D1A">
      <w:pPr>
        <w:rPr>
          <w:rFonts w:ascii="Arial" w:hAnsi="Arial" w:cs="Arial"/>
          <w:b/>
        </w:rPr>
      </w:pPr>
    </w:p>
    <w:p w14:paraId="3A30453E" w14:textId="0B4E63E6" w:rsidR="00807DDC" w:rsidRPr="006C3EA3" w:rsidRDefault="006C3EA3" w:rsidP="00807DDC">
      <w:pPr>
        <w:pStyle w:val="ListParagraph"/>
        <w:numPr>
          <w:ilvl w:val="0"/>
          <w:numId w:val="4"/>
        </w:numPr>
        <w:ind w:left="709" w:hanging="709"/>
        <w:rPr>
          <w:rFonts w:ascii="Arial" w:hAnsi="Arial" w:cs="Arial"/>
          <w:b/>
          <w:u w:val="single"/>
        </w:rPr>
      </w:pPr>
      <w:r>
        <w:rPr>
          <w:rFonts w:ascii="Arial" w:hAnsi="Arial" w:cs="Arial"/>
          <w:b/>
          <w:u w:val="single"/>
        </w:rPr>
        <w:t>Dedicated Schools Grant</w:t>
      </w:r>
      <w:r w:rsidR="00714DC9">
        <w:rPr>
          <w:rFonts w:ascii="Arial" w:hAnsi="Arial" w:cs="Arial"/>
          <w:b/>
          <w:u w:val="single"/>
        </w:rPr>
        <w:t xml:space="preserve">: 2019-20 Outturn, </w:t>
      </w:r>
      <w:r w:rsidR="007D28EE">
        <w:rPr>
          <w:rFonts w:ascii="Arial" w:hAnsi="Arial" w:cs="Arial"/>
          <w:b/>
          <w:u w:val="single"/>
        </w:rPr>
        <w:t>DSG Deficit Recovery Plan</w:t>
      </w:r>
      <w:r w:rsidR="00714DC9">
        <w:rPr>
          <w:rFonts w:ascii="Arial" w:hAnsi="Arial" w:cs="Arial"/>
          <w:b/>
          <w:u w:val="single"/>
        </w:rPr>
        <w:t xml:space="preserve"> and 2020-21 initial forecast </w:t>
      </w:r>
    </w:p>
    <w:p w14:paraId="6F7C642E" w14:textId="77777777" w:rsidR="006C3EA3" w:rsidRDefault="006C3EA3" w:rsidP="00C3096B">
      <w:pPr>
        <w:ind w:left="709" w:hanging="709"/>
        <w:rPr>
          <w:rFonts w:ascii="Arial" w:hAnsi="Arial" w:cs="Arial"/>
        </w:rPr>
      </w:pPr>
    </w:p>
    <w:p w14:paraId="7AB15961" w14:textId="1F4CB25C" w:rsidR="00B53D25" w:rsidRDefault="00353AB1" w:rsidP="00C3096B">
      <w:pPr>
        <w:ind w:left="709" w:hanging="709"/>
        <w:rPr>
          <w:rFonts w:ascii="Arial" w:hAnsi="Arial" w:cs="Arial"/>
        </w:rPr>
      </w:pPr>
      <w:r>
        <w:rPr>
          <w:rFonts w:ascii="Arial" w:hAnsi="Arial" w:cs="Arial"/>
        </w:rPr>
        <w:t>1.1</w:t>
      </w:r>
      <w:r>
        <w:rPr>
          <w:rFonts w:ascii="Arial" w:hAnsi="Arial" w:cs="Arial"/>
        </w:rPr>
        <w:tab/>
      </w:r>
      <w:r w:rsidR="007D28EE" w:rsidRPr="007D28EE">
        <w:rPr>
          <w:rFonts w:ascii="Arial" w:hAnsi="Arial" w:cs="Arial"/>
        </w:rPr>
        <w:t>Table 1 below provides an update on the cumulative DSG reserve position for 201</w:t>
      </w:r>
      <w:r w:rsidR="00AA6619">
        <w:rPr>
          <w:rFonts w:ascii="Arial" w:hAnsi="Arial" w:cs="Arial"/>
        </w:rPr>
        <w:t>9</w:t>
      </w:r>
      <w:r w:rsidR="007D28EE" w:rsidRPr="007D28EE">
        <w:rPr>
          <w:rFonts w:ascii="Arial" w:hAnsi="Arial" w:cs="Arial"/>
        </w:rPr>
        <w:t>-</w:t>
      </w:r>
      <w:r w:rsidR="00AA6619">
        <w:rPr>
          <w:rFonts w:ascii="Arial" w:hAnsi="Arial" w:cs="Arial"/>
        </w:rPr>
        <w:t>20</w:t>
      </w:r>
      <w:r w:rsidR="007D28EE" w:rsidRPr="007D28EE">
        <w:rPr>
          <w:rFonts w:ascii="Arial" w:hAnsi="Arial" w:cs="Arial"/>
        </w:rPr>
        <w:t>. Figures in brackets indicate a deficit balance</w:t>
      </w:r>
      <w:r w:rsidR="007D28EE">
        <w:rPr>
          <w:rFonts w:ascii="Arial" w:hAnsi="Arial" w:cs="Arial"/>
        </w:rPr>
        <w:t>.</w:t>
      </w:r>
    </w:p>
    <w:p w14:paraId="61FE95F5" w14:textId="15DC999C" w:rsidR="007D28EE" w:rsidRPr="002033B5" w:rsidRDefault="007D28EE" w:rsidP="00714DC9">
      <w:pPr>
        <w:ind w:left="709" w:hanging="709"/>
        <w:rPr>
          <w:rFonts w:ascii="Arial" w:hAnsi="Arial" w:cs="Arial"/>
        </w:rPr>
      </w:pPr>
      <w:r>
        <w:rPr>
          <w:rFonts w:ascii="Arial" w:hAnsi="Arial" w:cs="Arial"/>
        </w:rPr>
        <w:tab/>
      </w:r>
    </w:p>
    <w:tbl>
      <w:tblPr>
        <w:tblStyle w:val="TableGrid"/>
        <w:tblW w:w="0" w:type="auto"/>
        <w:tblInd w:w="709" w:type="dxa"/>
        <w:tblLook w:val="04A0" w:firstRow="1" w:lastRow="0" w:firstColumn="1" w:lastColumn="0" w:noHBand="0" w:noVBand="1"/>
      </w:tblPr>
      <w:tblGrid>
        <w:gridCol w:w="6629"/>
        <w:gridCol w:w="1904"/>
      </w:tblGrid>
      <w:tr w:rsidR="007D28EE" w14:paraId="372A289E" w14:textId="77777777" w:rsidTr="007D28EE">
        <w:tc>
          <w:tcPr>
            <w:tcW w:w="6629" w:type="dxa"/>
          </w:tcPr>
          <w:p w14:paraId="04552092" w14:textId="77777777" w:rsidR="007D28EE" w:rsidRDefault="007D28EE" w:rsidP="00C3096B">
            <w:pPr>
              <w:rPr>
                <w:rFonts w:ascii="Arial" w:hAnsi="Arial" w:cs="Arial"/>
              </w:rPr>
            </w:pPr>
          </w:p>
        </w:tc>
        <w:tc>
          <w:tcPr>
            <w:tcW w:w="1904" w:type="dxa"/>
          </w:tcPr>
          <w:p w14:paraId="50CF2E25" w14:textId="7506D10C" w:rsidR="007D28EE" w:rsidRDefault="007D28EE" w:rsidP="00714DC9">
            <w:pPr>
              <w:jc w:val="center"/>
              <w:rPr>
                <w:rFonts w:ascii="Arial" w:hAnsi="Arial" w:cs="Arial"/>
              </w:rPr>
            </w:pPr>
            <w:r>
              <w:rPr>
                <w:rFonts w:ascii="Arial" w:hAnsi="Arial" w:cs="Arial"/>
              </w:rPr>
              <w:t>£’</w:t>
            </w:r>
            <w:proofErr w:type="spellStart"/>
            <w:r>
              <w:rPr>
                <w:rFonts w:ascii="Arial" w:hAnsi="Arial" w:cs="Arial"/>
              </w:rPr>
              <w:t>ms</w:t>
            </w:r>
            <w:proofErr w:type="spellEnd"/>
          </w:p>
        </w:tc>
      </w:tr>
      <w:tr w:rsidR="007D28EE" w14:paraId="76B7C819" w14:textId="77777777" w:rsidTr="007D28EE">
        <w:tc>
          <w:tcPr>
            <w:tcW w:w="6629" w:type="dxa"/>
          </w:tcPr>
          <w:p w14:paraId="676513CE" w14:textId="3587EA27" w:rsidR="007D28EE" w:rsidRDefault="007D28EE" w:rsidP="00C3096B">
            <w:pPr>
              <w:rPr>
                <w:rFonts w:ascii="Arial" w:hAnsi="Arial" w:cs="Arial"/>
              </w:rPr>
            </w:pPr>
            <w:r w:rsidRPr="007D28EE">
              <w:rPr>
                <w:rFonts w:ascii="Arial" w:hAnsi="Arial" w:cs="Arial"/>
              </w:rPr>
              <w:t>Balance b/</w:t>
            </w:r>
            <w:proofErr w:type="spellStart"/>
            <w:r w:rsidRPr="007D28EE">
              <w:rPr>
                <w:rFonts w:ascii="Arial" w:hAnsi="Arial" w:cs="Arial"/>
              </w:rPr>
              <w:t>fwd</w:t>
            </w:r>
            <w:proofErr w:type="spellEnd"/>
            <w:r w:rsidRPr="007D28EE">
              <w:rPr>
                <w:rFonts w:ascii="Arial" w:hAnsi="Arial" w:cs="Arial"/>
              </w:rPr>
              <w:t xml:space="preserve"> as at 1 April 201</w:t>
            </w:r>
            <w:r>
              <w:rPr>
                <w:rFonts w:ascii="Arial" w:hAnsi="Arial" w:cs="Arial"/>
              </w:rPr>
              <w:t>9</w:t>
            </w:r>
          </w:p>
        </w:tc>
        <w:tc>
          <w:tcPr>
            <w:tcW w:w="1904" w:type="dxa"/>
          </w:tcPr>
          <w:p w14:paraId="2BB5C0F2" w14:textId="4310D591" w:rsidR="007D28EE" w:rsidRDefault="00D257E4" w:rsidP="00714DC9">
            <w:pPr>
              <w:jc w:val="center"/>
              <w:rPr>
                <w:rFonts w:ascii="Arial" w:hAnsi="Arial" w:cs="Arial"/>
              </w:rPr>
            </w:pPr>
            <w:r>
              <w:rPr>
                <w:rFonts w:ascii="Arial" w:hAnsi="Arial" w:cs="Arial"/>
              </w:rPr>
              <w:t>(6.5)</w:t>
            </w:r>
          </w:p>
        </w:tc>
      </w:tr>
      <w:tr w:rsidR="007D28EE" w14:paraId="65F2ADA4" w14:textId="77777777" w:rsidTr="007D28EE">
        <w:tc>
          <w:tcPr>
            <w:tcW w:w="6629" w:type="dxa"/>
          </w:tcPr>
          <w:p w14:paraId="03844C2A" w14:textId="5C951A54" w:rsidR="007D28EE" w:rsidRDefault="007D28EE" w:rsidP="00C3096B">
            <w:pPr>
              <w:rPr>
                <w:rFonts w:ascii="Arial" w:hAnsi="Arial" w:cs="Arial"/>
              </w:rPr>
            </w:pPr>
            <w:r w:rsidRPr="007D28EE">
              <w:rPr>
                <w:rFonts w:ascii="Arial" w:hAnsi="Arial" w:cs="Arial"/>
              </w:rPr>
              <w:t>Academy conversion/closing school deficits write offs</w:t>
            </w:r>
          </w:p>
        </w:tc>
        <w:tc>
          <w:tcPr>
            <w:tcW w:w="1904" w:type="dxa"/>
          </w:tcPr>
          <w:p w14:paraId="056A9C16" w14:textId="77777777" w:rsidR="007D28EE" w:rsidRDefault="007D28EE" w:rsidP="00714DC9">
            <w:pPr>
              <w:jc w:val="center"/>
              <w:rPr>
                <w:rFonts w:ascii="Arial" w:hAnsi="Arial" w:cs="Arial"/>
              </w:rPr>
            </w:pPr>
          </w:p>
        </w:tc>
      </w:tr>
      <w:tr w:rsidR="007D28EE" w14:paraId="3D6D6AD3" w14:textId="77777777" w:rsidTr="007D28EE">
        <w:tc>
          <w:tcPr>
            <w:tcW w:w="6629" w:type="dxa"/>
          </w:tcPr>
          <w:p w14:paraId="29FC4884" w14:textId="55B93207" w:rsidR="007D28EE" w:rsidRDefault="007D28EE" w:rsidP="00C3096B">
            <w:pPr>
              <w:rPr>
                <w:rFonts w:ascii="Arial" w:hAnsi="Arial" w:cs="Arial"/>
              </w:rPr>
            </w:pPr>
            <w:r w:rsidRPr="007D28EE">
              <w:rPr>
                <w:rFonts w:ascii="Arial" w:hAnsi="Arial" w:cs="Arial"/>
              </w:rPr>
              <w:t>High Needs overspend</w:t>
            </w:r>
          </w:p>
        </w:tc>
        <w:tc>
          <w:tcPr>
            <w:tcW w:w="1904" w:type="dxa"/>
          </w:tcPr>
          <w:p w14:paraId="4E76C4EC" w14:textId="77777777" w:rsidR="007D28EE" w:rsidRDefault="007D28EE" w:rsidP="00714DC9">
            <w:pPr>
              <w:jc w:val="center"/>
              <w:rPr>
                <w:rFonts w:ascii="Arial" w:hAnsi="Arial" w:cs="Arial"/>
              </w:rPr>
            </w:pPr>
          </w:p>
        </w:tc>
      </w:tr>
      <w:tr w:rsidR="007D28EE" w14:paraId="72890B71" w14:textId="77777777" w:rsidTr="007D28EE">
        <w:tc>
          <w:tcPr>
            <w:tcW w:w="6629" w:type="dxa"/>
          </w:tcPr>
          <w:p w14:paraId="29A7F95E" w14:textId="6204619B" w:rsidR="007D28EE" w:rsidRDefault="007D28EE" w:rsidP="00C3096B">
            <w:pPr>
              <w:rPr>
                <w:rFonts w:ascii="Arial" w:hAnsi="Arial" w:cs="Arial"/>
              </w:rPr>
            </w:pPr>
            <w:r w:rsidRPr="007D28EE">
              <w:rPr>
                <w:rFonts w:ascii="Arial" w:hAnsi="Arial" w:cs="Arial"/>
              </w:rPr>
              <w:t>School Growth</w:t>
            </w:r>
          </w:p>
        </w:tc>
        <w:tc>
          <w:tcPr>
            <w:tcW w:w="1904" w:type="dxa"/>
          </w:tcPr>
          <w:p w14:paraId="2C166763" w14:textId="36A94921" w:rsidR="007D28EE" w:rsidRDefault="00D257E4" w:rsidP="00714DC9">
            <w:pPr>
              <w:jc w:val="center"/>
              <w:rPr>
                <w:rFonts w:ascii="Arial" w:hAnsi="Arial" w:cs="Arial"/>
              </w:rPr>
            </w:pPr>
            <w:r>
              <w:rPr>
                <w:rFonts w:ascii="Arial" w:hAnsi="Arial" w:cs="Arial"/>
              </w:rPr>
              <w:t>3.2</w:t>
            </w:r>
          </w:p>
        </w:tc>
      </w:tr>
      <w:tr w:rsidR="007D28EE" w14:paraId="1907D53A" w14:textId="77777777" w:rsidTr="007D28EE">
        <w:tc>
          <w:tcPr>
            <w:tcW w:w="6629" w:type="dxa"/>
          </w:tcPr>
          <w:p w14:paraId="4D224BDB" w14:textId="5990D431" w:rsidR="007D28EE" w:rsidRPr="007D28EE" w:rsidRDefault="00714DC9" w:rsidP="00C3096B">
            <w:pPr>
              <w:rPr>
                <w:rFonts w:ascii="Arial" w:hAnsi="Arial" w:cs="Arial"/>
              </w:rPr>
            </w:pPr>
            <w:r w:rsidRPr="00714DC9">
              <w:rPr>
                <w:rFonts w:ascii="Arial" w:hAnsi="Arial" w:cs="Arial"/>
              </w:rPr>
              <w:t>Balance c/</w:t>
            </w:r>
            <w:proofErr w:type="spellStart"/>
            <w:r w:rsidRPr="00714DC9">
              <w:rPr>
                <w:rFonts w:ascii="Arial" w:hAnsi="Arial" w:cs="Arial"/>
              </w:rPr>
              <w:t>fwd</w:t>
            </w:r>
            <w:proofErr w:type="spellEnd"/>
            <w:r w:rsidRPr="00714DC9">
              <w:rPr>
                <w:rFonts w:ascii="Arial" w:hAnsi="Arial" w:cs="Arial"/>
              </w:rPr>
              <w:t xml:space="preserve"> as at 31 March 20</w:t>
            </w:r>
            <w:r w:rsidR="00AA6619">
              <w:rPr>
                <w:rFonts w:ascii="Arial" w:hAnsi="Arial" w:cs="Arial"/>
              </w:rPr>
              <w:t>20</w:t>
            </w:r>
          </w:p>
        </w:tc>
        <w:tc>
          <w:tcPr>
            <w:tcW w:w="1904" w:type="dxa"/>
          </w:tcPr>
          <w:p w14:paraId="37C4EEBF" w14:textId="2D265243" w:rsidR="007D28EE" w:rsidRDefault="00D257E4" w:rsidP="00714DC9">
            <w:pPr>
              <w:jc w:val="center"/>
              <w:rPr>
                <w:rFonts w:ascii="Arial" w:hAnsi="Arial" w:cs="Arial"/>
              </w:rPr>
            </w:pPr>
            <w:r>
              <w:rPr>
                <w:rFonts w:ascii="Arial" w:hAnsi="Arial" w:cs="Arial"/>
              </w:rPr>
              <w:t>(21.5)</w:t>
            </w:r>
          </w:p>
        </w:tc>
      </w:tr>
    </w:tbl>
    <w:p w14:paraId="2575ED39" w14:textId="77777777" w:rsidR="00B53D25" w:rsidRPr="00714DC9" w:rsidRDefault="00B53D25" w:rsidP="00714DC9">
      <w:pPr>
        <w:rPr>
          <w:rFonts w:ascii="Arial" w:hAnsi="Arial" w:cs="Arial"/>
        </w:rPr>
      </w:pPr>
    </w:p>
    <w:p w14:paraId="098C849E" w14:textId="70AACF14" w:rsidR="00807DDC" w:rsidRPr="004C6449" w:rsidRDefault="00353AB1" w:rsidP="00A44A02">
      <w:pPr>
        <w:tabs>
          <w:tab w:val="left" w:pos="709"/>
        </w:tabs>
        <w:ind w:left="709" w:hanging="709"/>
        <w:rPr>
          <w:rFonts w:ascii="Arial" w:hAnsi="Arial" w:cs="Arial"/>
        </w:rPr>
      </w:pPr>
      <w:r>
        <w:rPr>
          <w:rFonts w:ascii="Arial" w:hAnsi="Arial" w:cs="Arial"/>
        </w:rPr>
        <w:t>1.2</w:t>
      </w:r>
      <w:r>
        <w:rPr>
          <w:rFonts w:ascii="Arial" w:hAnsi="Arial" w:cs="Arial"/>
        </w:rPr>
        <w:tab/>
      </w:r>
      <w:r w:rsidR="00714DC9" w:rsidRPr="00714DC9">
        <w:rPr>
          <w:rFonts w:ascii="Arial" w:hAnsi="Arial" w:cs="Arial"/>
        </w:rPr>
        <w:t>The cumulative deficit of £</w:t>
      </w:r>
      <w:r w:rsidR="00D257E4">
        <w:rPr>
          <w:rFonts w:ascii="Arial" w:hAnsi="Arial" w:cs="Arial"/>
        </w:rPr>
        <w:t>21</w:t>
      </w:r>
      <w:r w:rsidR="00714DC9" w:rsidRPr="00714DC9">
        <w:rPr>
          <w:rFonts w:ascii="Arial" w:hAnsi="Arial" w:cs="Arial"/>
        </w:rPr>
        <w:t>.</w:t>
      </w:r>
      <w:r w:rsidR="00D257E4">
        <w:rPr>
          <w:rFonts w:ascii="Arial" w:hAnsi="Arial" w:cs="Arial"/>
        </w:rPr>
        <w:t>5</w:t>
      </w:r>
      <w:r w:rsidR="00714DC9" w:rsidRPr="00714DC9">
        <w:rPr>
          <w:rFonts w:ascii="Arial" w:hAnsi="Arial" w:cs="Arial"/>
        </w:rPr>
        <w:t>m as at 31 March 20</w:t>
      </w:r>
      <w:r w:rsidR="00714DC9">
        <w:rPr>
          <w:rFonts w:ascii="Arial" w:hAnsi="Arial" w:cs="Arial"/>
        </w:rPr>
        <w:t>20</w:t>
      </w:r>
      <w:r w:rsidR="00714DC9" w:rsidRPr="00714DC9">
        <w:rPr>
          <w:rFonts w:ascii="Arial" w:hAnsi="Arial" w:cs="Arial"/>
        </w:rPr>
        <w:t xml:space="preserve"> </w:t>
      </w:r>
      <w:r w:rsidR="00AA6619">
        <w:rPr>
          <w:rFonts w:ascii="Arial" w:hAnsi="Arial" w:cs="Arial"/>
        </w:rPr>
        <w:t xml:space="preserve">is </w:t>
      </w:r>
      <w:r w:rsidR="00714DC9" w:rsidRPr="00714DC9">
        <w:rPr>
          <w:rFonts w:ascii="Arial" w:hAnsi="Arial" w:cs="Arial"/>
        </w:rPr>
        <w:t>equ</w:t>
      </w:r>
      <w:r w:rsidR="00714DC9">
        <w:rPr>
          <w:rFonts w:ascii="Arial" w:hAnsi="Arial" w:cs="Arial"/>
        </w:rPr>
        <w:t>ivalent</w:t>
      </w:r>
      <w:r w:rsidR="00714DC9" w:rsidRPr="00714DC9">
        <w:rPr>
          <w:rFonts w:ascii="Arial" w:hAnsi="Arial" w:cs="Arial"/>
        </w:rPr>
        <w:t xml:space="preserve"> to </w:t>
      </w:r>
      <w:r w:rsidR="00714DC9">
        <w:rPr>
          <w:rFonts w:ascii="Arial" w:hAnsi="Arial" w:cs="Arial"/>
        </w:rPr>
        <w:t>1</w:t>
      </w:r>
      <w:r w:rsidR="00714DC9" w:rsidRPr="00714DC9">
        <w:rPr>
          <w:rFonts w:ascii="Arial" w:hAnsi="Arial" w:cs="Arial"/>
        </w:rPr>
        <w:t>.</w:t>
      </w:r>
      <w:r w:rsidR="00714DC9">
        <w:rPr>
          <w:rFonts w:ascii="Arial" w:hAnsi="Arial" w:cs="Arial"/>
        </w:rPr>
        <w:t>8</w:t>
      </w:r>
      <w:r w:rsidR="00714DC9" w:rsidRPr="00714DC9">
        <w:rPr>
          <w:rFonts w:ascii="Arial" w:hAnsi="Arial" w:cs="Arial"/>
        </w:rPr>
        <w:t>% of our total DSG allocation</w:t>
      </w:r>
      <w:r w:rsidR="00714DC9">
        <w:rPr>
          <w:rFonts w:ascii="Arial" w:hAnsi="Arial" w:cs="Arial"/>
        </w:rPr>
        <w:t xml:space="preserve">. At the November 2019 Schools Funding Forum meeting it was highlighted the estimated cumulative deficit by the end of March 2021 could reach approximately £50m. The initial forecast for 2020-21 supports this position with the </w:t>
      </w:r>
      <w:r w:rsidR="00714DC9" w:rsidRPr="00714DC9">
        <w:rPr>
          <w:rFonts w:ascii="Arial" w:hAnsi="Arial" w:cs="Arial"/>
        </w:rPr>
        <w:t>expect</w:t>
      </w:r>
      <w:r w:rsidR="00714DC9">
        <w:rPr>
          <w:rFonts w:ascii="Arial" w:hAnsi="Arial" w:cs="Arial"/>
        </w:rPr>
        <w:t>ed</w:t>
      </w:r>
      <w:r w:rsidR="00714DC9" w:rsidRPr="00714DC9">
        <w:rPr>
          <w:rFonts w:ascii="Arial" w:hAnsi="Arial" w:cs="Arial"/>
        </w:rPr>
        <w:t xml:space="preserve"> pressure on High Needs to continue in 20</w:t>
      </w:r>
      <w:r w:rsidR="00714DC9">
        <w:rPr>
          <w:rFonts w:ascii="Arial" w:hAnsi="Arial" w:cs="Arial"/>
        </w:rPr>
        <w:t>20</w:t>
      </w:r>
      <w:r w:rsidR="00714DC9" w:rsidRPr="00714DC9">
        <w:rPr>
          <w:rFonts w:ascii="Arial" w:hAnsi="Arial" w:cs="Arial"/>
        </w:rPr>
        <w:t>-2</w:t>
      </w:r>
      <w:r w:rsidR="00714DC9">
        <w:rPr>
          <w:rFonts w:ascii="Arial" w:hAnsi="Arial" w:cs="Arial"/>
        </w:rPr>
        <w:t>1</w:t>
      </w:r>
      <w:r w:rsidR="006B1F91">
        <w:rPr>
          <w:rFonts w:ascii="Arial" w:hAnsi="Arial" w:cs="Arial"/>
        </w:rPr>
        <w:t xml:space="preserve">. The presentation on high needs </w:t>
      </w:r>
      <w:r w:rsidR="00AA6619">
        <w:rPr>
          <w:rFonts w:ascii="Arial" w:hAnsi="Arial" w:cs="Arial"/>
        </w:rPr>
        <w:t xml:space="preserve">(item 2) </w:t>
      </w:r>
      <w:r w:rsidR="006B1F91">
        <w:rPr>
          <w:rFonts w:ascii="Arial" w:hAnsi="Arial" w:cs="Arial"/>
        </w:rPr>
        <w:t xml:space="preserve">gives further information on the position on high needs and </w:t>
      </w:r>
      <w:r w:rsidR="004908AD">
        <w:rPr>
          <w:rFonts w:ascii="Arial" w:hAnsi="Arial" w:cs="Arial"/>
        </w:rPr>
        <w:t xml:space="preserve">the currently </w:t>
      </w:r>
      <w:r w:rsidR="006B1F91">
        <w:rPr>
          <w:rFonts w:ascii="Arial" w:hAnsi="Arial" w:cs="Arial"/>
        </w:rPr>
        <w:t xml:space="preserve">work being undertaken to address both the SEND Written Statement of Action and the use of the 1% school block transfer to support mainstream schools with the inclusion strategy. However, it is unlikely </w:t>
      </w:r>
      <w:r w:rsidR="004908AD">
        <w:rPr>
          <w:rFonts w:ascii="Arial" w:hAnsi="Arial" w:cs="Arial"/>
        </w:rPr>
        <w:t xml:space="preserve">there will be an </w:t>
      </w:r>
      <w:r w:rsidR="006B1F91">
        <w:rPr>
          <w:rFonts w:ascii="Arial" w:hAnsi="Arial" w:cs="Arial"/>
        </w:rPr>
        <w:t xml:space="preserve">immediate impact on the 2020-21 forecast.  </w:t>
      </w:r>
    </w:p>
    <w:p w14:paraId="6EC8547F" w14:textId="77777777" w:rsidR="00807DDC" w:rsidRPr="00807DDC" w:rsidRDefault="00807DDC" w:rsidP="00807DDC">
      <w:pPr>
        <w:rPr>
          <w:rFonts w:ascii="Arial" w:hAnsi="Arial" w:cs="Arial"/>
        </w:rPr>
      </w:pPr>
    </w:p>
    <w:p w14:paraId="3320D1FC" w14:textId="476A13AB" w:rsidR="00C3096B" w:rsidRDefault="00353AB1" w:rsidP="008A4607">
      <w:pPr>
        <w:ind w:left="709" w:hanging="709"/>
        <w:rPr>
          <w:rFonts w:ascii="Arial" w:hAnsi="Arial" w:cs="Arial"/>
        </w:rPr>
      </w:pPr>
      <w:r>
        <w:rPr>
          <w:rFonts w:ascii="Arial" w:hAnsi="Arial" w:cs="Arial"/>
        </w:rPr>
        <w:t>1.3</w:t>
      </w:r>
      <w:r>
        <w:rPr>
          <w:rFonts w:ascii="Arial" w:hAnsi="Arial" w:cs="Arial"/>
        </w:rPr>
        <w:tab/>
      </w:r>
      <w:r w:rsidR="006B1F91">
        <w:rPr>
          <w:rFonts w:ascii="Arial" w:hAnsi="Arial" w:cs="Arial"/>
        </w:rPr>
        <w:t xml:space="preserve">In January 2020, the Government issued it response to </w:t>
      </w:r>
      <w:r w:rsidR="00221C9B">
        <w:rPr>
          <w:rFonts w:ascii="Arial" w:hAnsi="Arial" w:cs="Arial"/>
        </w:rPr>
        <w:t>its</w:t>
      </w:r>
      <w:r w:rsidR="006B1F91">
        <w:rPr>
          <w:rFonts w:ascii="Arial" w:hAnsi="Arial" w:cs="Arial"/>
        </w:rPr>
        <w:t xml:space="preserve"> consultation on </w:t>
      </w:r>
      <w:hyperlink r:id="rId8" w:history="1">
        <w:r w:rsidR="00221C9B" w:rsidRPr="00221C9B">
          <w:rPr>
            <w:rStyle w:val="Hyperlink"/>
            <w:rFonts w:ascii="Arial" w:hAnsi="Arial" w:cs="Arial"/>
          </w:rPr>
          <w:t>clarifying the specific grant and ring-fenced status of the Dedicated Schools Grant (DSG)</w:t>
        </w:r>
      </w:hyperlink>
      <w:r w:rsidR="00221C9B">
        <w:rPr>
          <w:rFonts w:ascii="Arial" w:hAnsi="Arial" w:cs="Arial"/>
        </w:rPr>
        <w:t xml:space="preserve"> and has subsequently updated the terms and conditions of the DSG for both 2019-20 and </w:t>
      </w:r>
      <w:hyperlink r:id="rId9" w:history="1">
        <w:r w:rsidR="00221C9B" w:rsidRPr="00221C9B">
          <w:rPr>
            <w:rStyle w:val="Hyperlink"/>
            <w:rFonts w:ascii="Arial" w:hAnsi="Arial" w:cs="Arial"/>
          </w:rPr>
          <w:t>2020-21</w:t>
        </w:r>
      </w:hyperlink>
      <w:r w:rsidR="00221C9B">
        <w:rPr>
          <w:rFonts w:ascii="Arial" w:hAnsi="Arial" w:cs="Arial"/>
        </w:rPr>
        <w:t>. These included the following key changes:</w:t>
      </w:r>
    </w:p>
    <w:p w14:paraId="6A970B73" w14:textId="79A6A376" w:rsidR="00221C9B" w:rsidRDefault="00221C9B" w:rsidP="00221C9B">
      <w:pPr>
        <w:pStyle w:val="ListParagraph"/>
        <w:numPr>
          <w:ilvl w:val="0"/>
          <w:numId w:val="13"/>
        </w:numPr>
        <w:rPr>
          <w:rFonts w:ascii="Arial" w:hAnsi="Arial" w:cs="Arial"/>
        </w:rPr>
      </w:pPr>
      <w:r w:rsidRPr="00221C9B">
        <w:rPr>
          <w:rFonts w:ascii="Arial" w:hAnsi="Arial" w:cs="Arial"/>
        </w:rPr>
        <w:lastRenderedPageBreak/>
        <w:t>with effect from the end of the 2019</w:t>
      </w:r>
      <w:r w:rsidR="00376172">
        <w:rPr>
          <w:rFonts w:ascii="Arial" w:hAnsi="Arial" w:cs="Arial"/>
        </w:rPr>
        <w:t>-</w:t>
      </w:r>
      <w:r w:rsidRPr="00221C9B">
        <w:rPr>
          <w:rFonts w:ascii="Arial" w:hAnsi="Arial" w:cs="Arial"/>
        </w:rPr>
        <w:t>2020 financial year</w:t>
      </w:r>
      <w:r>
        <w:rPr>
          <w:rFonts w:ascii="Arial" w:hAnsi="Arial" w:cs="Arial"/>
        </w:rPr>
        <w:t xml:space="preserve">, </w:t>
      </w:r>
      <w:r w:rsidRPr="00221C9B">
        <w:rPr>
          <w:rFonts w:ascii="Arial" w:hAnsi="Arial" w:cs="Arial"/>
        </w:rPr>
        <w:t>a new requirement that a deficit must be carried forward to be dealt with from future DSG income, unless the Secretary of State authorises the local authority not to do this</w:t>
      </w:r>
      <w:r w:rsidR="00AA6619">
        <w:rPr>
          <w:rFonts w:ascii="Arial" w:hAnsi="Arial" w:cs="Arial"/>
        </w:rPr>
        <w:t>.</w:t>
      </w:r>
      <w:r w:rsidR="00AA7D5F">
        <w:rPr>
          <w:rFonts w:ascii="Arial" w:hAnsi="Arial" w:cs="Arial"/>
        </w:rPr>
        <w:t xml:space="preserve"> Local authorities no longer have the option to meet this deficit from general reserves (KCC has never supported this view).</w:t>
      </w:r>
    </w:p>
    <w:p w14:paraId="30333E38" w14:textId="2BA5F434" w:rsidR="00AA7D5F" w:rsidRPr="000601B6" w:rsidRDefault="000601B6" w:rsidP="00477602">
      <w:pPr>
        <w:pStyle w:val="ListParagraph"/>
        <w:numPr>
          <w:ilvl w:val="0"/>
          <w:numId w:val="13"/>
        </w:numPr>
        <w:rPr>
          <w:rFonts w:ascii="Arial" w:hAnsi="Arial" w:cs="Arial"/>
        </w:rPr>
      </w:pPr>
      <w:r w:rsidRPr="000601B6">
        <w:rPr>
          <w:rFonts w:ascii="Arial" w:hAnsi="Arial" w:cs="Arial"/>
        </w:rPr>
        <w:t>T</w:t>
      </w:r>
      <w:r w:rsidR="00AA7D5F" w:rsidRPr="000601B6">
        <w:rPr>
          <w:rFonts w:ascii="Arial" w:hAnsi="Arial" w:cs="Arial"/>
        </w:rPr>
        <w:t xml:space="preserve">he </w:t>
      </w:r>
      <w:r w:rsidR="00AA6619" w:rsidRPr="000601B6">
        <w:rPr>
          <w:rFonts w:ascii="Arial" w:hAnsi="Arial" w:cs="Arial"/>
        </w:rPr>
        <w:t>automatic requirement to produce and submit a deficit recovery plan to the DFE once the accumulated deficit is in excess of 1% of the total DSG allocation</w:t>
      </w:r>
      <w:r w:rsidRPr="000601B6">
        <w:rPr>
          <w:rFonts w:ascii="Arial" w:hAnsi="Arial" w:cs="Arial"/>
        </w:rPr>
        <w:t xml:space="preserve"> </w:t>
      </w:r>
      <w:r>
        <w:rPr>
          <w:rFonts w:ascii="Arial" w:hAnsi="Arial" w:cs="Arial"/>
        </w:rPr>
        <w:t>has been replaced</w:t>
      </w:r>
      <w:r w:rsidRPr="000601B6">
        <w:rPr>
          <w:rFonts w:ascii="Arial" w:hAnsi="Arial" w:cs="Arial"/>
        </w:rPr>
        <w:t xml:space="preserve"> </w:t>
      </w:r>
      <w:r w:rsidR="00AA7D5F" w:rsidRPr="000601B6">
        <w:rPr>
          <w:rFonts w:ascii="Arial" w:hAnsi="Arial" w:cs="Arial"/>
        </w:rPr>
        <w:t>with a more general requirement that a local authority with an overall deficit on its DSG account at the end of the 2019 to 2020 financial year, or whose DSG surplus has substantially reduced during the year, must co-operate with the Department for Education (DfE) in handling that situation including:</w:t>
      </w:r>
    </w:p>
    <w:p w14:paraId="01EB43FC" w14:textId="090C194C" w:rsidR="00AA7D5F" w:rsidRPr="00AA7D5F" w:rsidRDefault="00AA7D5F" w:rsidP="00AA7D5F">
      <w:pPr>
        <w:pStyle w:val="ListParagraph"/>
        <w:ind w:left="2160"/>
        <w:rPr>
          <w:rFonts w:ascii="Arial" w:hAnsi="Arial" w:cs="Arial"/>
        </w:rPr>
      </w:pPr>
      <w:r w:rsidRPr="00AA7D5F">
        <w:rPr>
          <w:rFonts w:ascii="Arial" w:hAnsi="Arial" w:cs="Arial"/>
        </w:rPr>
        <w:t>1.Provide information as and when requested by the department about its plans for managing its DSG account in the 2020 to 2021 financial year and subsequently.</w:t>
      </w:r>
    </w:p>
    <w:p w14:paraId="399BC495" w14:textId="77777777" w:rsidR="00AA7D5F" w:rsidRPr="00AA7D5F" w:rsidRDefault="00AA7D5F" w:rsidP="00AA7D5F">
      <w:pPr>
        <w:ind w:left="2160"/>
        <w:rPr>
          <w:rFonts w:ascii="Arial" w:hAnsi="Arial" w:cs="Arial"/>
        </w:rPr>
      </w:pPr>
      <w:r w:rsidRPr="00AA7D5F">
        <w:rPr>
          <w:rFonts w:ascii="Arial" w:hAnsi="Arial" w:cs="Arial"/>
        </w:rPr>
        <w:t>2.Provide information as and when requested by the department about pressures and potential savings on its high needs budget.</w:t>
      </w:r>
    </w:p>
    <w:p w14:paraId="27D15E27" w14:textId="77777777" w:rsidR="00AA7D5F" w:rsidRPr="00AA7D5F" w:rsidRDefault="00AA7D5F" w:rsidP="00AA7D5F">
      <w:pPr>
        <w:ind w:left="2160"/>
        <w:rPr>
          <w:rFonts w:ascii="Arial" w:hAnsi="Arial" w:cs="Arial"/>
        </w:rPr>
      </w:pPr>
      <w:r w:rsidRPr="00AA7D5F">
        <w:rPr>
          <w:rFonts w:ascii="Arial" w:hAnsi="Arial" w:cs="Arial"/>
        </w:rPr>
        <w:t>3.Meet with officials of the department as and when they request to discuss the local authority’s plans and financial situation.</w:t>
      </w:r>
    </w:p>
    <w:p w14:paraId="3DE4191A" w14:textId="08B16514" w:rsidR="00AA7D5F" w:rsidRDefault="00AA7D5F" w:rsidP="00AA7D5F">
      <w:pPr>
        <w:ind w:left="2160"/>
        <w:rPr>
          <w:rFonts w:ascii="Arial" w:hAnsi="Arial" w:cs="Arial"/>
        </w:rPr>
      </w:pPr>
      <w:r w:rsidRPr="00AA7D5F">
        <w:rPr>
          <w:rFonts w:ascii="Arial" w:hAnsi="Arial" w:cs="Arial"/>
        </w:rPr>
        <w:t>4.Keep the schools forum regularly updated about the local authority’s DSG account and plans for handling it, including high needs pressures and potential savings.</w:t>
      </w:r>
    </w:p>
    <w:p w14:paraId="187F5AE7" w14:textId="77777777" w:rsidR="00AA7D5F" w:rsidRDefault="00AA7D5F" w:rsidP="00AA7D5F">
      <w:pPr>
        <w:ind w:left="2160"/>
        <w:rPr>
          <w:rFonts w:ascii="Arial" w:hAnsi="Arial" w:cs="Arial"/>
        </w:rPr>
      </w:pPr>
    </w:p>
    <w:p w14:paraId="5C93C854" w14:textId="61B2C2F2" w:rsidR="009B46EF" w:rsidRDefault="00661BD7" w:rsidP="00A44A02">
      <w:pPr>
        <w:ind w:left="709" w:hanging="709"/>
        <w:rPr>
          <w:rFonts w:ascii="Arial" w:hAnsi="Arial" w:cs="Arial"/>
        </w:rPr>
      </w:pPr>
      <w:r>
        <w:rPr>
          <w:rFonts w:ascii="Arial" w:hAnsi="Arial" w:cs="Arial"/>
        </w:rPr>
        <w:t>1.4</w:t>
      </w:r>
      <w:r>
        <w:rPr>
          <w:rFonts w:ascii="Arial" w:hAnsi="Arial" w:cs="Arial"/>
        </w:rPr>
        <w:tab/>
      </w:r>
      <w:r w:rsidR="00AA7D5F">
        <w:rPr>
          <w:rFonts w:ascii="Arial" w:hAnsi="Arial" w:cs="Arial"/>
        </w:rPr>
        <w:t xml:space="preserve">In addition, </w:t>
      </w:r>
      <w:r w:rsidR="00717F30">
        <w:rPr>
          <w:rFonts w:ascii="Arial" w:hAnsi="Arial" w:cs="Arial"/>
        </w:rPr>
        <w:t>the consultation also</w:t>
      </w:r>
      <w:r w:rsidR="00AA7D5F">
        <w:rPr>
          <w:rFonts w:ascii="Arial" w:hAnsi="Arial" w:cs="Arial"/>
        </w:rPr>
        <w:t xml:space="preserve"> </w:t>
      </w:r>
      <w:r w:rsidR="00717F30" w:rsidRPr="00717F30">
        <w:rPr>
          <w:rFonts w:ascii="Arial" w:hAnsi="Arial" w:cs="Arial"/>
        </w:rPr>
        <w:t>recognise</w:t>
      </w:r>
      <w:r w:rsidR="00717F30">
        <w:rPr>
          <w:rFonts w:ascii="Arial" w:hAnsi="Arial" w:cs="Arial"/>
        </w:rPr>
        <w:t>s</w:t>
      </w:r>
      <w:r w:rsidR="00717F30" w:rsidRPr="00717F30">
        <w:rPr>
          <w:rFonts w:ascii="Arial" w:hAnsi="Arial" w:cs="Arial"/>
        </w:rPr>
        <w:t xml:space="preserve"> there may be some LAs which, even if they can stabilise their in-year expenditure on high needs, will still not be able to pay off their historic deficit within a reasonable time</w:t>
      </w:r>
      <w:r w:rsidR="00717F30">
        <w:rPr>
          <w:rFonts w:ascii="Arial" w:hAnsi="Arial" w:cs="Arial"/>
        </w:rPr>
        <w:t xml:space="preserve">. Where that is the case the DFE will work with LAs on a plan of action </w:t>
      </w:r>
      <w:r w:rsidR="00717F30" w:rsidRPr="00717F30">
        <w:rPr>
          <w:rFonts w:ascii="Arial" w:hAnsi="Arial" w:cs="Arial"/>
        </w:rPr>
        <w:t xml:space="preserve">to enable </w:t>
      </w:r>
      <w:r w:rsidR="00717F30">
        <w:rPr>
          <w:rFonts w:ascii="Arial" w:hAnsi="Arial" w:cs="Arial"/>
        </w:rPr>
        <w:t>the LA</w:t>
      </w:r>
      <w:r w:rsidR="00717F30" w:rsidRPr="00717F30">
        <w:rPr>
          <w:rFonts w:ascii="Arial" w:hAnsi="Arial" w:cs="Arial"/>
        </w:rPr>
        <w:t xml:space="preserve"> to pay off its deficit over time</w:t>
      </w:r>
      <w:r w:rsidR="00717F30">
        <w:rPr>
          <w:rFonts w:ascii="Arial" w:hAnsi="Arial" w:cs="Arial"/>
        </w:rPr>
        <w:t xml:space="preserve">. The consultation was silent on exactly how this might be achieved. </w:t>
      </w:r>
    </w:p>
    <w:p w14:paraId="35873A97" w14:textId="77777777" w:rsidR="00717F30" w:rsidRDefault="00717F30" w:rsidP="00A44A02">
      <w:pPr>
        <w:ind w:left="709" w:hanging="709"/>
        <w:rPr>
          <w:rFonts w:ascii="Arial" w:hAnsi="Arial" w:cs="Arial"/>
        </w:rPr>
      </w:pPr>
    </w:p>
    <w:p w14:paraId="6BA8D204" w14:textId="1ECBDCBD" w:rsidR="00717F30" w:rsidRDefault="00717F30" w:rsidP="00A44A02">
      <w:pPr>
        <w:ind w:left="709" w:hanging="709"/>
        <w:rPr>
          <w:rFonts w:ascii="Arial" w:hAnsi="Arial" w:cs="Arial"/>
        </w:rPr>
      </w:pPr>
      <w:r>
        <w:rPr>
          <w:rFonts w:ascii="Arial" w:hAnsi="Arial" w:cs="Arial"/>
        </w:rPr>
        <w:t>1.5</w:t>
      </w:r>
      <w:r>
        <w:rPr>
          <w:rFonts w:ascii="Arial" w:hAnsi="Arial" w:cs="Arial"/>
        </w:rPr>
        <w:tab/>
      </w:r>
      <w:r w:rsidR="000601B6">
        <w:rPr>
          <w:rFonts w:ascii="Arial" w:hAnsi="Arial" w:cs="Arial"/>
        </w:rPr>
        <w:t>The DFE are</w:t>
      </w:r>
      <w:r w:rsidR="000601B6" w:rsidRPr="000601B6">
        <w:rPr>
          <w:rFonts w:ascii="Arial" w:hAnsi="Arial" w:cs="Arial"/>
        </w:rPr>
        <w:t xml:space="preserve"> continu</w:t>
      </w:r>
      <w:r w:rsidR="000601B6">
        <w:rPr>
          <w:rFonts w:ascii="Arial" w:hAnsi="Arial" w:cs="Arial"/>
        </w:rPr>
        <w:t>ing</w:t>
      </w:r>
      <w:r w:rsidR="000601B6" w:rsidRPr="000601B6">
        <w:rPr>
          <w:rFonts w:ascii="Arial" w:hAnsi="Arial" w:cs="Arial"/>
        </w:rPr>
        <w:t xml:space="preserve"> to review the recovery plan process and </w:t>
      </w:r>
      <w:r w:rsidR="000601B6">
        <w:rPr>
          <w:rFonts w:ascii="Arial" w:hAnsi="Arial" w:cs="Arial"/>
        </w:rPr>
        <w:t xml:space="preserve">are expected to </w:t>
      </w:r>
      <w:r w:rsidR="000601B6" w:rsidRPr="000601B6">
        <w:rPr>
          <w:rFonts w:ascii="Arial" w:hAnsi="Arial" w:cs="Arial"/>
        </w:rPr>
        <w:t>provide updated guidance</w:t>
      </w:r>
      <w:r w:rsidR="000601B6">
        <w:rPr>
          <w:rFonts w:ascii="Arial" w:hAnsi="Arial" w:cs="Arial"/>
        </w:rPr>
        <w:t xml:space="preserve"> in the coming months.</w:t>
      </w:r>
    </w:p>
    <w:p w14:paraId="3C51F09C" w14:textId="77777777" w:rsidR="009B46EF" w:rsidRDefault="009B46EF" w:rsidP="00316DDB">
      <w:pPr>
        <w:ind w:left="851" w:hanging="851"/>
        <w:rPr>
          <w:rFonts w:ascii="Arial" w:hAnsi="Arial" w:cs="Arial"/>
        </w:rPr>
      </w:pPr>
    </w:p>
    <w:p w14:paraId="43A1674B" w14:textId="0152B035" w:rsidR="009B46EF" w:rsidRDefault="009B46EF" w:rsidP="00E138F3">
      <w:pPr>
        <w:ind w:left="709" w:hanging="709"/>
        <w:rPr>
          <w:rFonts w:ascii="Arial" w:hAnsi="Arial" w:cs="Arial"/>
        </w:rPr>
      </w:pPr>
      <w:r w:rsidRPr="006C3EA3">
        <w:rPr>
          <w:rFonts w:ascii="Arial" w:hAnsi="Arial" w:cs="Arial"/>
          <w:b/>
          <w:bCs/>
        </w:rPr>
        <w:t xml:space="preserve">2. </w:t>
      </w:r>
      <w:r w:rsidRPr="006C3EA3">
        <w:rPr>
          <w:rFonts w:ascii="Arial" w:hAnsi="Arial" w:cs="Arial"/>
          <w:b/>
          <w:bCs/>
        </w:rPr>
        <w:tab/>
      </w:r>
      <w:r w:rsidR="006C3EA3">
        <w:rPr>
          <w:rFonts w:ascii="Arial" w:hAnsi="Arial" w:cs="Arial"/>
          <w:b/>
          <w:bCs/>
          <w:u w:val="single"/>
        </w:rPr>
        <w:t>2020-21 Budget Update: Dedicated Schools Grant</w:t>
      </w:r>
    </w:p>
    <w:p w14:paraId="4836C878" w14:textId="77777777" w:rsidR="009B46EF" w:rsidRDefault="009B46EF" w:rsidP="00316DDB">
      <w:pPr>
        <w:ind w:left="851" w:hanging="851"/>
        <w:rPr>
          <w:rFonts w:ascii="Arial" w:hAnsi="Arial" w:cs="Arial"/>
        </w:rPr>
      </w:pPr>
    </w:p>
    <w:p w14:paraId="024885B4" w14:textId="09AAA0FE" w:rsidR="007642B1" w:rsidRPr="00A315B9" w:rsidRDefault="009B46EF" w:rsidP="007642B1">
      <w:pPr>
        <w:ind w:left="709" w:hanging="709"/>
        <w:rPr>
          <w:rFonts w:ascii="Arial" w:hAnsi="Arial" w:cs="Arial"/>
        </w:rPr>
      </w:pPr>
      <w:r>
        <w:rPr>
          <w:rFonts w:ascii="Arial" w:hAnsi="Arial" w:cs="Arial"/>
        </w:rPr>
        <w:t>2.1</w:t>
      </w:r>
      <w:r>
        <w:rPr>
          <w:rFonts w:ascii="Arial" w:hAnsi="Arial" w:cs="Arial"/>
        </w:rPr>
        <w:tab/>
      </w:r>
      <w:r w:rsidR="007D28EE">
        <w:rPr>
          <w:rFonts w:ascii="Arial" w:hAnsi="Arial" w:cs="Arial"/>
        </w:rPr>
        <w:t xml:space="preserve">Appendix 1 provides a summary of the 2020-21 Budget update for school budgets. </w:t>
      </w:r>
    </w:p>
    <w:p w14:paraId="79F268B7" w14:textId="6A2A083A" w:rsidR="00807DDC" w:rsidRPr="007F18A3" w:rsidRDefault="00807DDC" w:rsidP="007F18A3">
      <w:pPr>
        <w:rPr>
          <w:rFonts w:ascii="Arial" w:hAnsi="Arial" w:cs="Arial"/>
        </w:rPr>
      </w:pPr>
    </w:p>
    <w:p w14:paraId="534645A9" w14:textId="26B4364E" w:rsidR="007C0485" w:rsidRPr="007F18A3" w:rsidRDefault="007F18A3" w:rsidP="00773A93">
      <w:pPr>
        <w:rPr>
          <w:rFonts w:ascii="Arial" w:hAnsi="Arial" w:cs="Arial"/>
          <w:b/>
          <w:bCs/>
          <w:u w:val="single"/>
        </w:rPr>
      </w:pPr>
      <w:r>
        <w:rPr>
          <w:rFonts w:ascii="Arial" w:hAnsi="Arial" w:cs="Arial"/>
        </w:rPr>
        <w:t xml:space="preserve">3. </w:t>
      </w:r>
      <w:r>
        <w:rPr>
          <w:rFonts w:ascii="Arial" w:hAnsi="Arial" w:cs="Arial"/>
        </w:rPr>
        <w:tab/>
      </w:r>
      <w:r w:rsidR="006C3EA3">
        <w:rPr>
          <w:rFonts w:ascii="Arial" w:hAnsi="Arial" w:cs="Arial"/>
          <w:b/>
          <w:bCs/>
          <w:u w:val="single"/>
        </w:rPr>
        <w:t>2021-22 Budget Update: Dedicated Schools Grant</w:t>
      </w:r>
    </w:p>
    <w:p w14:paraId="7BEC09FF" w14:textId="73435B54" w:rsidR="00C3096B" w:rsidRDefault="00C3096B" w:rsidP="00773A93">
      <w:pPr>
        <w:rPr>
          <w:rFonts w:ascii="Arial" w:hAnsi="Arial" w:cs="Arial"/>
          <w:u w:val="single"/>
        </w:rPr>
      </w:pPr>
    </w:p>
    <w:p w14:paraId="7A13A63D" w14:textId="781AD569" w:rsidR="002D3739" w:rsidRPr="002D3739" w:rsidRDefault="002D3739" w:rsidP="00773A93">
      <w:pPr>
        <w:rPr>
          <w:rFonts w:ascii="Arial" w:hAnsi="Arial" w:cs="Arial"/>
          <w:u w:val="single"/>
        </w:rPr>
      </w:pPr>
      <w:r>
        <w:rPr>
          <w:rFonts w:ascii="Arial" w:hAnsi="Arial" w:cs="Arial"/>
        </w:rPr>
        <w:tab/>
      </w:r>
      <w:r w:rsidRPr="002D3739">
        <w:rPr>
          <w:rFonts w:ascii="Arial" w:hAnsi="Arial" w:cs="Arial"/>
          <w:u w:val="single"/>
        </w:rPr>
        <w:t>Draft Budget 2021-22</w:t>
      </w:r>
    </w:p>
    <w:p w14:paraId="5FD98C42" w14:textId="1AAB58B1" w:rsidR="00C3096B" w:rsidRDefault="00D62495" w:rsidP="006C3EA3">
      <w:pPr>
        <w:ind w:left="709" w:hanging="709"/>
        <w:rPr>
          <w:rFonts w:ascii="Arial" w:hAnsi="Arial" w:cs="Arial"/>
        </w:rPr>
      </w:pPr>
      <w:r>
        <w:rPr>
          <w:rFonts w:ascii="Arial" w:hAnsi="Arial" w:cs="Arial"/>
        </w:rPr>
        <w:t>3.1</w:t>
      </w:r>
      <w:r w:rsidR="00D7278B">
        <w:rPr>
          <w:rFonts w:ascii="Arial" w:hAnsi="Arial" w:cs="Arial"/>
        </w:rPr>
        <w:tab/>
        <w:t xml:space="preserve">The draft 2021-22 school budget allocations and operational guidance is expected to be published at the end of July 2020. We continue to expect the Government to honour the three-year funding settlement for schools announced last year </w:t>
      </w:r>
      <w:r w:rsidR="002D3739">
        <w:rPr>
          <w:rFonts w:ascii="Arial" w:hAnsi="Arial" w:cs="Arial"/>
        </w:rPr>
        <w:t xml:space="preserve">(please see table below) </w:t>
      </w:r>
      <w:r w:rsidR="00D7278B">
        <w:rPr>
          <w:rFonts w:ascii="Arial" w:hAnsi="Arial" w:cs="Arial"/>
        </w:rPr>
        <w:t>but there are no indications at this stage on how this will be split across schools, high needs and early years.</w:t>
      </w:r>
      <w:r w:rsidR="00BE3F8C">
        <w:rPr>
          <w:rFonts w:ascii="Arial" w:hAnsi="Arial" w:cs="Arial"/>
        </w:rPr>
        <w:t xml:space="preserve"> The DFE have repeatedly said “High Needs is top of the agenda”</w:t>
      </w:r>
      <w:r w:rsidR="00D7278B">
        <w:rPr>
          <w:rFonts w:ascii="Arial" w:hAnsi="Arial" w:cs="Arial"/>
        </w:rPr>
        <w:t xml:space="preserve"> </w:t>
      </w:r>
      <w:r w:rsidR="00BE3F8C">
        <w:rPr>
          <w:rFonts w:ascii="Arial" w:hAnsi="Arial" w:cs="Arial"/>
        </w:rPr>
        <w:t>although exactly what this means is still unclear</w:t>
      </w:r>
      <w:r w:rsidR="008C48A1">
        <w:rPr>
          <w:rFonts w:ascii="Arial" w:hAnsi="Arial" w:cs="Arial"/>
        </w:rPr>
        <w:t xml:space="preserve"> and how this may impact high needs funded institutions or top up funding to mainstream schools and colleges. The </w:t>
      </w:r>
      <w:r w:rsidR="008C48A1">
        <w:rPr>
          <w:rFonts w:ascii="Arial" w:hAnsi="Arial" w:cs="Arial"/>
        </w:rPr>
        <w:lastRenderedPageBreak/>
        <w:t>Government h</w:t>
      </w:r>
      <w:r w:rsidR="004908AD">
        <w:rPr>
          <w:rFonts w:ascii="Arial" w:hAnsi="Arial" w:cs="Arial"/>
        </w:rPr>
        <w:t>as</w:t>
      </w:r>
      <w:r w:rsidR="008C48A1">
        <w:rPr>
          <w:rFonts w:ascii="Arial" w:hAnsi="Arial" w:cs="Arial"/>
        </w:rPr>
        <w:t xml:space="preserve"> </w:t>
      </w:r>
      <w:r w:rsidR="004908AD">
        <w:rPr>
          <w:rFonts w:ascii="Arial" w:hAnsi="Arial" w:cs="Arial"/>
        </w:rPr>
        <w:t>remained</w:t>
      </w:r>
      <w:r w:rsidR="008C48A1">
        <w:rPr>
          <w:rFonts w:ascii="Arial" w:hAnsi="Arial" w:cs="Arial"/>
        </w:rPr>
        <w:t xml:space="preserve"> silent on the future funding proposals for early years. </w:t>
      </w:r>
      <w:r w:rsidR="00D7278B">
        <w:rPr>
          <w:rFonts w:ascii="Arial" w:hAnsi="Arial" w:cs="Arial"/>
        </w:rPr>
        <w:t xml:space="preserve">We are expecting </w:t>
      </w:r>
      <w:r w:rsidR="008C48A1">
        <w:rPr>
          <w:rFonts w:ascii="Arial" w:hAnsi="Arial" w:cs="Arial"/>
        </w:rPr>
        <w:t xml:space="preserve">the historic commitment element of the </w:t>
      </w:r>
      <w:r w:rsidR="00D7278B">
        <w:rPr>
          <w:rFonts w:ascii="Arial" w:hAnsi="Arial" w:cs="Arial"/>
        </w:rPr>
        <w:t xml:space="preserve">central </w:t>
      </w:r>
      <w:proofErr w:type="gramStart"/>
      <w:r w:rsidR="00D7278B">
        <w:rPr>
          <w:rFonts w:ascii="Arial" w:hAnsi="Arial" w:cs="Arial"/>
        </w:rPr>
        <w:t>schools</w:t>
      </w:r>
      <w:proofErr w:type="gramEnd"/>
      <w:r w:rsidR="00D7278B">
        <w:rPr>
          <w:rFonts w:ascii="Arial" w:hAnsi="Arial" w:cs="Arial"/>
        </w:rPr>
        <w:t xml:space="preserve"> services block </w:t>
      </w:r>
      <w:r w:rsidR="008C48A1">
        <w:rPr>
          <w:rFonts w:ascii="Arial" w:hAnsi="Arial" w:cs="Arial"/>
        </w:rPr>
        <w:t xml:space="preserve">(CSSB) </w:t>
      </w:r>
      <w:r w:rsidR="00D7278B">
        <w:rPr>
          <w:rFonts w:ascii="Arial" w:hAnsi="Arial" w:cs="Arial"/>
        </w:rPr>
        <w:t xml:space="preserve">to be reduced by a further 20% in 2021-22 (see </w:t>
      </w:r>
      <w:r w:rsidR="00D7278B" w:rsidRPr="00FE2455">
        <w:rPr>
          <w:rFonts w:ascii="Arial" w:hAnsi="Arial" w:cs="Arial"/>
        </w:rPr>
        <w:t xml:space="preserve">paragraph </w:t>
      </w:r>
      <w:r w:rsidR="00FE2455" w:rsidRPr="00FE2455">
        <w:rPr>
          <w:rFonts w:ascii="Arial" w:hAnsi="Arial" w:cs="Arial"/>
        </w:rPr>
        <w:t>3</w:t>
      </w:r>
      <w:r w:rsidR="00D7278B" w:rsidRPr="00FE2455">
        <w:rPr>
          <w:rFonts w:ascii="Arial" w:hAnsi="Arial" w:cs="Arial"/>
        </w:rPr>
        <w:t>.</w:t>
      </w:r>
      <w:r w:rsidR="00FE2455">
        <w:rPr>
          <w:rFonts w:ascii="Arial" w:hAnsi="Arial" w:cs="Arial"/>
        </w:rPr>
        <w:t>7</w:t>
      </w:r>
      <w:r w:rsidR="00D7278B">
        <w:rPr>
          <w:rFonts w:ascii="Arial" w:hAnsi="Arial" w:cs="Arial"/>
        </w:rPr>
        <w:t>).</w:t>
      </w:r>
      <w:r w:rsidR="002D3739">
        <w:rPr>
          <w:rFonts w:ascii="Arial" w:hAnsi="Arial" w:cs="Arial"/>
        </w:rPr>
        <w:t xml:space="preserve"> </w:t>
      </w:r>
    </w:p>
    <w:p w14:paraId="4FEA44ED" w14:textId="13EAD5A4" w:rsidR="00D7278B" w:rsidRDefault="00D7278B" w:rsidP="006C3EA3">
      <w:pPr>
        <w:ind w:left="709" w:hanging="709"/>
        <w:rPr>
          <w:rFonts w:ascii="Arial" w:hAnsi="Arial" w:cs="Arial"/>
        </w:rPr>
      </w:pPr>
      <w:r>
        <w:rPr>
          <w:rFonts w:ascii="Arial" w:hAnsi="Arial" w:cs="Arial"/>
        </w:rPr>
        <w:tab/>
      </w:r>
    </w:p>
    <w:p w14:paraId="3312AFB3" w14:textId="0B3C7C80" w:rsidR="00D7278B" w:rsidRDefault="00D7278B" w:rsidP="006C3EA3">
      <w:pPr>
        <w:ind w:left="709" w:hanging="709"/>
        <w:rPr>
          <w:rFonts w:ascii="Arial" w:hAnsi="Arial" w:cs="Arial"/>
        </w:rPr>
      </w:pPr>
      <w:r>
        <w:rPr>
          <w:rFonts w:ascii="Arial" w:hAnsi="Arial" w:cs="Arial"/>
        </w:rPr>
        <w:tab/>
      </w:r>
      <w:r>
        <w:rPr>
          <w:rFonts w:ascii="Arial" w:hAnsi="Arial" w:cs="Arial"/>
          <w:noProof/>
        </w:rPr>
        <w:drawing>
          <wp:inline distT="0" distB="0" distL="0" distR="0" wp14:anchorId="0401213C" wp14:editId="24CE302E">
            <wp:extent cx="5005705" cy="1960310"/>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38417" cy="1973120"/>
                    </a:xfrm>
                    <a:prstGeom prst="rect">
                      <a:avLst/>
                    </a:prstGeom>
                    <a:noFill/>
                  </pic:spPr>
                </pic:pic>
              </a:graphicData>
            </a:graphic>
          </wp:inline>
        </w:drawing>
      </w:r>
    </w:p>
    <w:p w14:paraId="2FBCB921" w14:textId="3B51C020" w:rsidR="00D7278B" w:rsidRDefault="00D7278B" w:rsidP="002D3739">
      <w:pPr>
        <w:ind w:left="709" w:hanging="709"/>
        <w:rPr>
          <w:rFonts w:ascii="Arial" w:hAnsi="Arial" w:cs="Arial"/>
        </w:rPr>
      </w:pPr>
      <w:r>
        <w:rPr>
          <w:rFonts w:ascii="Arial" w:hAnsi="Arial" w:cs="Arial"/>
        </w:rPr>
        <w:tab/>
      </w:r>
    </w:p>
    <w:p w14:paraId="4A44605E" w14:textId="3BBA8E37" w:rsidR="002D3739" w:rsidRPr="002D3739" w:rsidRDefault="002D3739" w:rsidP="002D3739">
      <w:pPr>
        <w:ind w:left="709" w:hanging="709"/>
        <w:rPr>
          <w:rFonts w:ascii="Arial" w:hAnsi="Arial" w:cs="Arial"/>
          <w:u w:val="single"/>
        </w:rPr>
      </w:pPr>
      <w:r>
        <w:rPr>
          <w:rFonts w:ascii="Arial" w:hAnsi="Arial" w:cs="Arial"/>
        </w:rPr>
        <w:tab/>
      </w:r>
      <w:r w:rsidRPr="002D3739">
        <w:rPr>
          <w:rFonts w:ascii="Arial" w:hAnsi="Arial" w:cs="Arial"/>
          <w:u w:val="single"/>
        </w:rPr>
        <w:t xml:space="preserve">Expected changes to </w:t>
      </w:r>
      <w:r>
        <w:rPr>
          <w:rFonts w:ascii="Arial" w:hAnsi="Arial" w:cs="Arial"/>
          <w:u w:val="single"/>
        </w:rPr>
        <w:t xml:space="preserve">Schools </w:t>
      </w:r>
      <w:r w:rsidRPr="002D3739">
        <w:rPr>
          <w:rFonts w:ascii="Arial" w:hAnsi="Arial" w:cs="Arial"/>
          <w:u w:val="single"/>
        </w:rPr>
        <w:t xml:space="preserve">National Funding Formula </w:t>
      </w:r>
      <w:r>
        <w:rPr>
          <w:rFonts w:ascii="Arial" w:hAnsi="Arial" w:cs="Arial"/>
          <w:u w:val="single"/>
        </w:rPr>
        <w:t xml:space="preserve">(NFF) </w:t>
      </w:r>
      <w:r w:rsidRPr="002D3739">
        <w:rPr>
          <w:rFonts w:ascii="Arial" w:hAnsi="Arial" w:cs="Arial"/>
          <w:u w:val="single"/>
        </w:rPr>
        <w:t>in 202</w:t>
      </w:r>
      <w:r>
        <w:rPr>
          <w:rFonts w:ascii="Arial" w:hAnsi="Arial" w:cs="Arial"/>
          <w:u w:val="single"/>
        </w:rPr>
        <w:t>1</w:t>
      </w:r>
      <w:r w:rsidRPr="002D3739">
        <w:rPr>
          <w:rFonts w:ascii="Arial" w:hAnsi="Arial" w:cs="Arial"/>
          <w:u w:val="single"/>
        </w:rPr>
        <w:t>-2</w:t>
      </w:r>
      <w:r>
        <w:rPr>
          <w:rFonts w:ascii="Arial" w:hAnsi="Arial" w:cs="Arial"/>
          <w:u w:val="single"/>
        </w:rPr>
        <w:t>2</w:t>
      </w:r>
    </w:p>
    <w:p w14:paraId="51FBE8D4" w14:textId="7A48B82F" w:rsidR="002D3739" w:rsidRDefault="00C3096B" w:rsidP="00626A73">
      <w:pPr>
        <w:ind w:left="709" w:hanging="709"/>
        <w:rPr>
          <w:rFonts w:ascii="Arial" w:hAnsi="Arial" w:cs="Arial"/>
        </w:rPr>
      </w:pPr>
      <w:r>
        <w:rPr>
          <w:rFonts w:ascii="Arial" w:hAnsi="Arial" w:cs="Arial"/>
        </w:rPr>
        <w:t>3.2</w:t>
      </w:r>
      <w:r>
        <w:rPr>
          <w:rFonts w:ascii="Arial" w:hAnsi="Arial" w:cs="Arial"/>
        </w:rPr>
        <w:tab/>
      </w:r>
      <w:r w:rsidR="00D41C2E" w:rsidRPr="00D41C2E">
        <w:rPr>
          <w:rFonts w:ascii="Arial" w:hAnsi="Arial" w:cs="Arial"/>
        </w:rPr>
        <w:t>In 2021-22, local authorities will remain responsible for determining final allocations to schools, in consultation with the Schools Forum.</w:t>
      </w:r>
      <w:r w:rsidR="00D41C2E">
        <w:rPr>
          <w:rFonts w:ascii="Arial" w:hAnsi="Arial" w:cs="Arial"/>
        </w:rPr>
        <w:t xml:space="preserve"> </w:t>
      </w:r>
      <w:r w:rsidR="002D3739">
        <w:rPr>
          <w:rFonts w:ascii="Arial" w:hAnsi="Arial" w:cs="Arial"/>
        </w:rPr>
        <w:t xml:space="preserve">There has been limited </w:t>
      </w:r>
      <w:r w:rsidR="00BE3F8C">
        <w:rPr>
          <w:rFonts w:ascii="Arial" w:hAnsi="Arial" w:cs="Arial"/>
        </w:rPr>
        <w:t xml:space="preserve">formal </w:t>
      </w:r>
      <w:r w:rsidR="002D3739">
        <w:rPr>
          <w:rFonts w:ascii="Arial" w:hAnsi="Arial" w:cs="Arial"/>
        </w:rPr>
        <w:t>communication from the DFE on the expected changes to the NFF in 2021-22</w:t>
      </w:r>
      <w:r w:rsidR="0058746A">
        <w:rPr>
          <w:rFonts w:ascii="Arial" w:hAnsi="Arial" w:cs="Arial"/>
        </w:rPr>
        <w:t>.</w:t>
      </w:r>
      <w:r w:rsidR="00BE3F8C">
        <w:rPr>
          <w:rFonts w:ascii="Arial" w:hAnsi="Arial" w:cs="Arial"/>
        </w:rPr>
        <w:t xml:space="preserve"> </w:t>
      </w:r>
      <w:r w:rsidR="0058746A">
        <w:rPr>
          <w:rFonts w:ascii="Arial" w:hAnsi="Arial" w:cs="Arial"/>
        </w:rPr>
        <w:t xml:space="preserve">We are assuming </w:t>
      </w:r>
      <w:r w:rsidR="00BE3F8C">
        <w:rPr>
          <w:rFonts w:ascii="Arial" w:hAnsi="Arial" w:cs="Arial"/>
        </w:rPr>
        <w:t xml:space="preserve">the </w:t>
      </w:r>
      <w:r w:rsidR="002D3739">
        <w:rPr>
          <w:rFonts w:ascii="Arial" w:hAnsi="Arial" w:cs="Arial"/>
        </w:rPr>
        <w:t>Government</w:t>
      </w:r>
      <w:r w:rsidR="0058746A">
        <w:rPr>
          <w:rFonts w:ascii="Arial" w:hAnsi="Arial" w:cs="Arial"/>
        </w:rPr>
        <w:t xml:space="preserve"> will honour its</w:t>
      </w:r>
      <w:r w:rsidR="002D3739">
        <w:rPr>
          <w:rFonts w:ascii="Arial" w:hAnsi="Arial" w:cs="Arial"/>
        </w:rPr>
        <w:t xml:space="preserve"> </w:t>
      </w:r>
      <w:r w:rsidR="00BE3F8C">
        <w:rPr>
          <w:rFonts w:ascii="Arial" w:hAnsi="Arial" w:cs="Arial"/>
        </w:rPr>
        <w:t xml:space="preserve">commitment </w:t>
      </w:r>
      <w:r w:rsidR="0058746A">
        <w:rPr>
          <w:rFonts w:ascii="Arial" w:hAnsi="Arial" w:cs="Arial"/>
        </w:rPr>
        <w:t>given in</w:t>
      </w:r>
      <w:r w:rsidR="00BE3F8C">
        <w:rPr>
          <w:rFonts w:ascii="Arial" w:hAnsi="Arial" w:cs="Arial"/>
        </w:rPr>
        <w:t xml:space="preserve"> 2019 to increase the minimum per pupil level for primary schools from £3,750 to £4,000 in 2021-22.</w:t>
      </w:r>
      <w:r w:rsidR="009939EA">
        <w:rPr>
          <w:rFonts w:ascii="Arial" w:hAnsi="Arial" w:cs="Arial"/>
        </w:rPr>
        <w:t xml:space="preserve"> </w:t>
      </w:r>
      <w:r w:rsidR="00626A73">
        <w:rPr>
          <w:rFonts w:ascii="Arial" w:hAnsi="Arial" w:cs="Arial"/>
        </w:rPr>
        <w:t xml:space="preserve">The DFE have also indicated their intention to provide a consistent rate increase for other factors in the NFF. </w:t>
      </w:r>
    </w:p>
    <w:p w14:paraId="32FB2FA9" w14:textId="77777777" w:rsidR="00626A73" w:rsidRDefault="00626A73" w:rsidP="00626A73">
      <w:pPr>
        <w:ind w:left="709" w:hanging="709"/>
        <w:rPr>
          <w:rFonts w:ascii="Arial" w:hAnsi="Arial" w:cs="Arial"/>
        </w:rPr>
      </w:pPr>
    </w:p>
    <w:p w14:paraId="011454B7" w14:textId="0A11777E" w:rsidR="00C3096B" w:rsidRPr="00BE3F8C" w:rsidRDefault="00C3096B" w:rsidP="00BE3F8C">
      <w:pPr>
        <w:ind w:left="709" w:hanging="709"/>
        <w:rPr>
          <w:rFonts w:ascii="Arial" w:hAnsi="Arial" w:cs="Arial"/>
        </w:rPr>
      </w:pPr>
      <w:r>
        <w:rPr>
          <w:rFonts w:ascii="Arial" w:hAnsi="Arial" w:cs="Arial"/>
        </w:rPr>
        <w:t>3.3</w:t>
      </w:r>
      <w:r>
        <w:rPr>
          <w:rFonts w:ascii="Arial" w:hAnsi="Arial" w:cs="Arial"/>
        </w:rPr>
        <w:tab/>
      </w:r>
      <w:r w:rsidR="0058746A">
        <w:rPr>
          <w:rFonts w:ascii="Arial" w:hAnsi="Arial" w:cs="Arial"/>
        </w:rPr>
        <w:t>Based on information gathered from LA/DFE events t</w:t>
      </w:r>
      <w:r w:rsidR="00BE3F8C">
        <w:rPr>
          <w:rFonts w:ascii="Arial" w:hAnsi="Arial" w:cs="Arial"/>
        </w:rPr>
        <w:t xml:space="preserve">he DFE </w:t>
      </w:r>
      <w:r w:rsidR="0058746A">
        <w:rPr>
          <w:rFonts w:ascii="Arial" w:hAnsi="Arial" w:cs="Arial"/>
        </w:rPr>
        <w:t>are</w:t>
      </w:r>
      <w:r w:rsidR="00BE3F8C">
        <w:rPr>
          <w:rFonts w:ascii="Arial" w:hAnsi="Arial" w:cs="Arial"/>
        </w:rPr>
        <w:t xml:space="preserve"> </w:t>
      </w:r>
      <w:r w:rsidR="0058746A">
        <w:rPr>
          <w:rFonts w:ascii="Arial" w:hAnsi="Arial" w:cs="Arial"/>
        </w:rPr>
        <w:t>s</w:t>
      </w:r>
      <w:r w:rsidR="00626A73">
        <w:rPr>
          <w:rFonts w:ascii="Arial" w:hAnsi="Arial" w:cs="Arial"/>
        </w:rPr>
        <w:t>uggest</w:t>
      </w:r>
      <w:r w:rsidR="0058746A">
        <w:rPr>
          <w:rFonts w:ascii="Arial" w:hAnsi="Arial" w:cs="Arial"/>
        </w:rPr>
        <w:t>ing</w:t>
      </w:r>
      <w:r w:rsidR="00BE3F8C">
        <w:rPr>
          <w:rFonts w:ascii="Arial" w:hAnsi="Arial" w:cs="Arial"/>
        </w:rPr>
        <w:t xml:space="preserve"> the following </w:t>
      </w:r>
      <w:r w:rsidR="0058746A">
        <w:rPr>
          <w:rFonts w:ascii="Arial" w:hAnsi="Arial" w:cs="Arial"/>
        </w:rPr>
        <w:t>extra changes to the NFF</w:t>
      </w:r>
      <w:r w:rsidR="00BE3F8C">
        <w:rPr>
          <w:rFonts w:ascii="Arial" w:hAnsi="Arial" w:cs="Arial"/>
        </w:rPr>
        <w:t xml:space="preserve"> in 2021-22: </w:t>
      </w:r>
      <w:r w:rsidR="009939EA">
        <w:rPr>
          <w:rFonts w:ascii="Arial" w:hAnsi="Arial" w:cs="Arial"/>
        </w:rPr>
        <w:t xml:space="preserve">the updating of the IDACI data used in the deprivation factors of the NFF; the rolling of the current </w:t>
      </w:r>
      <w:r w:rsidR="000F099C" w:rsidRPr="000F099C">
        <w:rPr>
          <w:rFonts w:ascii="Arial" w:hAnsi="Arial" w:cs="Arial"/>
        </w:rPr>
        <w:t xml:space="preserve">Teachers’ Pay Grant (TPG) and the Teachers’ Pension Employer Contribution Grant (TPECG) </w:t>
      </w:r>
      <w:r w:rsidR="009939EA">
        <w:rPr>
          <w:rFonts w:ascii="Arial" w:hAnsi="Arial" w:cs="Arial"/>
        </w:rPr>
        <w:t>into the NFF; recognising small schools with</w:t>
      </w:r>
      <w:r w:rsidR="0058746A">
        <w:rPr>
          <w:rFonts w:ascii="Arial" w:hAnsi="Arial" w:cs="Arial"/>
        </w:rPr>
        <w:t>in</w:t>
      </w:r>
      <w:r w:rsidR="009939EA">
        <w:rPr>
          <w:rFonts w:ascii="Arial" w:hAnsi="Arial" w:cs="Arial"/>
        </w:rPr>
        <w:t xml:space="preserve"> the NFF. </w:t>
      </w:r>
      <w:r w:rsidR="00206BDE">
        <w:rPr>
          <w:rFonts w:ascii="Arial" w:hAnsi="Arial" w:cs="Arial"/>
        </w:rPr>
        <w:t xml:space="preserve">Further details of possible changes are given below. </w:t>
      </w:r>
      <w:r w:rsidR="00206BDE" w:rsidRPr="00C15536">
        <w:rPr>
          <w:rFonts w:ascii="Arial" w:hAnsi="Arial" w:cs="Arial"/>
          <w:b/>
          <w:bCs/>
        </w:rPr>
        <w:t xml:space="preserve">It is important to note none of these changes have been confirmed and the impact on individual schools </w:t>
      </w:r>
      <w:r w:rsidR="00C15536">
        <w:rPr>
          <w:rFonts w:ascii="Arial" w:hAnsi="Arial" w:cs="Arial"/>
          <w:b/>
          <w:bCs/>
        </w:rPr>
        <w:t xml:space="preserve">of any NFF change </w:t>
      </w:r>
      <w:r w:rsidR="00206BDE" w:rsidRPr="00C15536">
        <w:rPr>
          <w:rFonts w:ascii="Arial" w:hAnsi="Arial" w:cs="Arial"/>
          <w:b/>
          <w:bCs/>
        </w:rPr>
        <w:t xml:space="preserve">will not be known until the detailed school data is </w:t>
      </w:r>
      <w:r w:rsidR="00C15536">
        <w:rPr>
          <w:rFonts w:ascii="Arial" w:hAnsi="Arial" w:cs="Arial"/>
          <w:b/>
          <w:bCs/>
        </w:rPr>
        <w:t>published</w:t>
      </w:r>
      <w:r w:rsidR="004908AD">
        <w:rPr>
          <w:rFonts w:ascii="Arial" w:hAnsi="Arial" w:cs="Arial"/>
          <w:b/>
          <w:bCs/>
        </w:rPr>
        <w:t xml:space="preserve"> in the Autumn term</w:t>
      </w:r>
      <w:r w:rsidR="00206BDE">
        <w:rPr>
          <w:rFonts w:ascii="Arial" w:hAnsi="Arial" w:cs="Arial"/>
        </w:rPr>
        <w:t xml:space="preserve">.  </w:t>
      </w:r>
    </w:p>
    <w:p w14:paraId="27BE02C7" w14:textId="3F7D4D42" w:rsidR="00C3096B" w:rsidRDefault="00C3096B" w:rsidP="00CE078B">
      <w:pPr>
        <w:ind w:left="709" w:hanging="709"/>
        <w:rPr>
          <w:rFonts w:ascii="Arial" w:hAnsi="Arial" w:cs="Arial"/>
        </w:rPr>
      </w:pPr>
    </w:p>
    <w:p w14:paraId="1DAA14DE" w14:textId="5B21CA1B" w:rsidR="0033328A" w:rsidRDefault="00C3096B" w:rsidP="00956F71">
      <w:pPr>
        <w:ind w:left="709" w:hanging="709"/>
        <w:rPr>
          <w:rFonts w:ascii="Arial" w:hAnsi="Arial" w:cs="Arial"/>
        </w:rPr>
      </w:pPr>
      <w:r>
        <w:rPr>
          <w:rFonts w:ascii="Arial" w:hAnsi="Arial" w:cs="Arial"/>
        </w:rPr>
        <w:t>3.4</w:t>
      </w:r>
      <w:r>
        <w:rPr>
          <w:rFonts w:ascii="Arial" w:hAnsi="Arial" w:cs="Arial"/>
        </w:rPr>
        <w:tab/>
      </w:r>
      <w:r w:rsidR="0033328A">
        <w:rPr>
          <w:rFonts w:ascii="Arial" w:hAnsi="Arial" w:cs="Arial"/>
        </w:rPr>
        <w:t xml:space="preserve">The NFF uses </w:t>
      </w:r>
      <w:r w:rsidR="0033328A" w:rsidRPr="0033328A">
        <w:rPr>
          <w:rFonts w:ascii="Arial" w:hAnsi="Arial" w:cs="Arial"/>
        </w:rPr>
        <w:t>the Income Deprivation Affecting Children Index (IDACI)</w:t>
      </w:r>
      <w:r w:rsidR="00AA6619">
        <w:rPr>
          <w:rStyle w:val="FootnoteReference"/>
          <w:rFonts w:ascii="Arial" w:hAnsi="Arial" w:cs="Arial"/>
        </w:rPr>
        <w:footnoteReference w:id="1"/>
      </w:r>
      <w:r w:rsidR="0033328A">
        <w:rPr>
          <w:rFonts w:ascii="Arial" w:hAnsi="Arial" w:cs="Arial"/>
        </w:rPr>
        <w:t xml:space="preserve"> to allocate deprivation funding. This index was updated in 2019 for the first time since 2015 and it is expected the NFF will be updated in 2021-22 to use the 2019 scorings (in 2020-21, the 2015 scorings continued to be used)</w:t>
      </w:r>
      <w:r w:rsidR="0033328A" w:rsidRPr="0033328A">
        <w:rPr>
          <w:rFonts w:ascii="Arial" w:hAnsi="Arial" w:cs="Arial"/>
        </w:rPr>
        <w:t xml:space="preserve">. </w:t>
      </w:r>
      <w:r w:rsidR="009F4C3C">
        <w:rPr>
          <w:rFonts w:ascii="Arial" w:hAnsi="Arial" w:cs="Arial"/>
        </w:rPr>
        <w:t>In doing this they are also expected to change</w:t>
      </w:r>
      <w:r w:rsidR="009F4C3C" w:rsidRPr="009F4C3C">
        <w:rPr>
          <w:rFonts w:ascii="Arial" w:hAnsi="Arial" w:cs="Arial"/>
        </w:rPr>
        <w:t xml:space="preserve"> the banding structure so that the proportion of pupils attracting funding through each band will remain broadly unchanged. </w:t>
      </w:r>
      <w:r w:rsidR="000F099C">
        <w:rPr>
          <w:rFonts w:ascii="Arial" w:hAnsi="Arial" w:cs="Arial"/>
        </w:rPr>
        <w:t xml:space="preserve">However, schools should expect </w:t>
      </w:r>
      <w:r w:rsidR="000F099C" w:rsidRPr="000F099C">
        <w:rPr>
          <w:rFonts w:ascii="Arial" w:hAnsi="Arial" w:cs="Arial"/>
        </w:rPr>
        <w:t>a distributional impact: areas which have become relatively more deprived over time benefit from more pupils attracting deprivation funding, and areas which have become relatively less deprived will attract less</w:t>
      </w:r>
      <w:r w:rsidR="000F099C">
        <w:rPr>
          <w:rFonts w:ascii="Arial" w:hAnsi="Arial" w:cs="Arial"/>
        </w:rPr>
        <w:t>. T</w:t>
      </w:r>
      <w:r w:rsidR="000F099C" w:rsidRPr="000F099C">
        <w:rPr>
          <w:rFonts w:ascii="Arial" w:hAnsi="Arial" w:cs="Arial"/>
        </w:rPr>
        <w:t xml:space="preserve">he minimum funding guarantee in </w:t>
      </w:r>
      <w:r w:rsidR="0058746A">
        <w:rPr>
          <w:rFonts w:ascii="Arial" w:hAnsi="Arial" w:cs="Arial"/>
        </w:rPr>
        <w:t xml:space="preserve">the </w:t>
      </w:r>
      <w:r w:rsidR="000F099C" w:rsidRPr="000F099C">
        <w:rPr>
          <w:rFonts w:ascii="Arial" w:hAnsi="Arial" w:cs="Arial"/>
        </w:rPr>
        <w:t xml:space="preserve">local </w:t>
      </w:r>
      <w:r w:rsidR="000F099C" w:rsidRPr="000F099C">
        <w:rPr>
          <w:rFonts w:ascii="Arial" w:hAnsi="Arial" w:cs="Arial"/>
        </w:rPr>
        <w:lastRenderedPageBreak/>
        <w:t>formula</w:t>
      </w:r>
      <w:r w:rsidR="0058746A">
        <w:rPr>
          <w:rFonts w:ascii="Arial" w:hAnsi="Arial" w:cs="Arial"/>
        </w:rPr>
        <w:t xml:space="preserve"> is</w:t>
      </w:r>
      <w:r w:rsidR="000F099C">
        <w:rPr>
          <w:rFonts w:ascii="Arial" w:hAnsi="Arial" w:cs="Arial"/>
        </w:rPr>
        <w:t xml:space="preserve"> expected to</w:t>
      </w:r>
      <w:r w:rsidR="000F099C" w:rsidRPr="000F099C">
        <w:rPr>
          <w:rFonts w:ascii="Arial" w:hAnsi="Arial" w:cs="Arial"/>
        </w:rPr>
        <w:t xml:space="preserve"> protect schools with particularly large changes in IDACI deprivation funding</w:t>
      </w:r>
      <w:r w:rsidR="000F099C">
        <w:rPr>
          <w:rFonts w:ascii="Arial" w:hAnsi="Arial" w:cs="Arial"/>
        </w:rPr>
        <w:t>.</w:t>
      </w:r>
      <w:r w:rsidR="0058746A">
        <w:rPr>
          <w:rFonts w:ascii="Arial" w:hAnsi="Arial" w:cs="Arial"/>
        </w:rPr>
        <w:t xml:space="preserve"> In the past </w:t>
      </w:r>
      <w:r w:rsidR="00956F71">
        <w:rPr>
          <w:rFonts w:ascii="Arial" w:hAnsi="Arial" w:cs="Arial"/>
        </w:rPr>
        <w:t xml:space="preserve">Kent </w:t>
      </w:r>
      <w:r w:rsidR="0058746A">
        <w:rPr>
          <w:rFonts w:ascii="Arial" w:hAnsi="Arial" w:cs="Arial"/>
        </w:rPr>
        <w:t xml:space="preserve">schools have experienced significant changes to their funding as a consequence of similar changes therefore </w:t>
      </w:r>
      <w:r w:rsidR="00956F71">
        <w:rPr>
          <w:rFonts w:ascii="Arial" w:hAnsi="Arial" w:cs="Arial"/>
        </w:rPr>
        <w:t xml:space="preserve">the impact of this will need to </w:t>
      </w:r>
      <w:proofErr w:type="gramStart"/>
      <w:r w:rsidR="00956F71">
        <w:rPr>
          <w:rFonts w:ascii="Arial" w:hAnsi="Arial" w:cs="Arial"/>
        </w:rPr>
        <w:t>considered</w:t>
      </w:r>
      <w:proofErr w:type="gramEnd"/>
      <w:r w:rsidR="00956F71">
        <w:rPr>
          <w:rFonts w:ascii="Arial" w:hAnsi="Arial" w:cs="Arial"/>
        </w:rPr>
        <w:t xml:space="preserve"> as part of setting the local formula in 2021-22.</w:t>
      </w:r>
    </w:p>
    <w:p w14:paraId="14724E58" w14:textId="77777777" w:rsidR="0033328A" w:rsidRDefault="0033328A" w:rsidP="00CE078B">
      <w:pPr>
        <w:ind w:left="709" w:hanging="709"/>
        <w:rPr>
          <w:rFonts w:ascii="Arial" w:hAnsi="Arial" w:cs="Arial"/>
        </w:rPr>
      </w:pPr>
    </w:p>
    <w:p w14:paraId="77E49EA7" w14:textId="67D17F87" w:rsidR="000F099C" w:rsidRDefault="0033328A" w:rsidP="00CE078B">
      <w:pPr>
        <w:ind w:left="709" w:hanging="709"/>
        <w:rPr>
          <w:rFonts w:ascii="Arial" w:hAnsi="Arial" w:cs="Arial"/>
        </w:rPr>
      </w:pPr>
      <w:r>
        <w:rPr>
          <w:rFonts w:ascii="Arial" w:hAnsi="Arial" w:cs="Arial"/>
        </w:rPr>
        <w:t>3.5</w:t>
      </w:r>
      <w:r>
        <w:rPr>
          <w:rFonts w:ascii="Arial" w:hAnsi="Arial" w:cs="Arial"/>
        </w:rPr>
        <w:tab/>
      </w:r>
      <w:r w:rsidR="000F099C" w:rsidRPr="000F099C">
        <w:rPr>
          <w:rFonts w:ascii="Arial" w:hAnsi="Arial" w:cs="Arial"/>
        </w:rPr>
        <w:t>The TPG was introduced in September 2018 to support schools to implement the 2018 teachers’ pay award.  In September 2019 the grant was increased to help schools implement the 2019 teachers’ pay award, as well as the ongoing cost of the 2018 award.</w:t>
      </w:r>
      <w:r w:rsidR="000F099C" w:rsidRPr="000F099C">
        <w:t xml:space="preserve"> </w:t>
      </w:r>
      <w:r w:rsidR="000F099C" w:rsidRPr="000F099C">
        <w:rPr>
          <w:rFonts w:ascii="Arial" w:hAnsi="Arial" w:cs="Arial"/>
        </w:rPr>
        <w:t xml:space="preserve">From September 2019, the employer contribution rate in the Teachers’ Pension Scheme increased from 16.4% to 23.6%. </w:t>
      </w:r>
      <w:r w:rsidR="000F099C">
        <w:rPr>
          <w:rFonts w:ascii="Arial" w:hAnsi="Arial" w:cs="Arial"/>
        </w:rPr>
        <w:t>To</w:t>
      </w:r>
      <w:r w:rsidR="000F099C" w:rsidRPr="000F099C">
        <w:rPr>
          <w:rFonts w:ascii="Arial" w:hAnsi="Arial" w:cs="Arial"/>
        </w:rPr>
        <w:t xml:space="preserve"> fully funding the increased costs to schools of this change the TPECG and supplementary fund</w:t>
      </w:r>
      <w:r w:rsidR="000F099C">
        <w:rPr>
          <w:rFonts w:ascii="Arial" w:hAnsi="Arial" w:cs="Arial"/>
        </w:rPr>
        <w:t xml:space="preserve"> were introduced</w:t>
      </w:r>
      <w:r w:rsidR="000F099C" w:rsidRPr="000F099C">
        <w:rPr>
          <w:rFonts w:ascii="Arial" w:hAnsi="Arial" w:cs="Arial"/>
        </w:rPr>
        <w:t xml:space="preserve">. As with the TPG, this is paid on the basis of pupil or place numbers to all state-funded schools. </w:t>
      </w:r>
      <w:r w:rsidR="00206BDE">
        <w:rPr>
          <w:rFonts w:ascii="Arial" w:hAnsi="Arial" w:cs="Arial"/>
        </w:rPr>
        <w:t xml:space="preserve">It has been suggested </w:t>
      </w:r>
      <w:r w:rsidR="000F099C">
        <w:rPr>
          <w:rFonts w:ascii="Arial" w:hAnsi="Arial" w:cs="Arial"/>
        </w:rPr>
        <w:t xml:space="preserve">to roll the grants into the NFF so the </w:t>
      </w:r>
      <w:r w:rsidR="000F099C" w:rsidRPr="000F099C">
        <w:rPr>
          <w:rFonts w:ascii="Arial" w:hAnsi="Arial" w:cs="Arial"/>
        </w:rPr>
        <w:t>additional funding schools are allocated through the NFF is as close as possible to the funding they would have received if the grants were continuing as separate entities</w:t>
      </w:r>
      <w:r w:rsidR="000F099C">
        <w:rPr>
          <w:rFonts w:ascii="Arial" w:hAnsi="Arial" w:cs="Arial"/>
        </w:rPr>
        <w:t xml:space="preserve">. </w:t>
      </w:r>
      <w:r w:rsidR="00D41C2E">
        <w:rPr>
          <w:rFonts w:ascii="Arial" w:hAnsi="Arial" w:cs="Arial"/>
        </w:rPr>
        <w:t>The proposal is to do this by:</w:t>
      </w:r>
    </w:p>
    <w:p w14:paraId="1A2FE776" w14:textId="77777777" w:rsidR="00D41C2E" w:rsidRDefault="00D41C2E" w:rsidP="00D41C2E">
      <w:pPr>
        <w:pStyle w:val="ListParagraph"/>
        <w:numPr>
          <w:ilvl w:val="0"/>
          <w:numId w:val="12"/>
        </w:numPr>
        <w:rPr>
          <w:rFonts w:ascii="Arial" w:hAnsi="Arial" w:cs="Arial"/>
        </w:rPr>
      </w:pPr>
      <w:r>
        <w:rPr>
          <w:rFonts w:ascii="Arial" w:hAnsi="Arial" w:cs="Arial"/>
        </w:rPr>
        <w:t xml:space="preserve">Adding the </w:t>
      </w:r>
      <w:r w:rsidRPr="00D41C2E">
        <w:rPr>
          <w:rFonts w:ascii="Arial" w:hAnsi="Arial" w:cs="Arial"/>
        </w:rPr>
        <w:t xml:space="preserve">amount that schools receive per pupil through the TPG and TPECG onto the basic per pupil amount (AWPU) </w:t>
      </w:r>
    </w:p>
    <w:p w14:paraId="7068F60B" w14:textId="77777777" w:rsidR="00D41C2E" w:rsidRDefault="00D41C2E" w:rsidP="00D41C2E">
      <w:pPr>
        <w:pStyle w:val="ListParagraph"/>
        <w:numPr>
          <w:ilvl w:val="0"/>
          <w:numId w:val="12"/>
        </w:numPr>
        <w:rPr>
          <w:rFonts w:ascii="Arial" w:hAnsi="Arial" w:cs="Arial"/>
        </w:rPr>
      </w:pPr>
      <w:r w:rsidRPr="00D41C2E">
        <w:rPr>
          <w:rFonts w:ascii="Arial" w:hAnsi="Arial" w:cs="Arial"/>
        </w:rPr>
        <w:t xml:space="preserve">Adding the amount that schools receive per pupil through the TPG and TPECG onto the minimum per pupil funding levels (MPPL), </w:t>
      </w:r>
    </w:p>
    <w:p w14:paraId="6623058F" w14:textId="5E33C96E" w:rsidR="000F099C" w:rsidRDefault="00D41C2E" w:rsidP="00D41C2E">
      <w:pPr>
        <w:pStyle w:val="ListParagraph"/>
        <w:numPr>
          <w:ilvl w:val="0"/>
          <w:numId w:val="12"/>
        </w:numPr>
        <w:rPr>
          <w:rFonts w:ascii="Arial" w:hAnsi="Arial" w:cs="Arial"/>
        </w:rPr>
      </w:pPr>
      <w:r w:rsidRPr="00D41C2E">
        <w:rPr>
          <w:rFonts w:ascii="Arial" w:hAnsi="Arial" w:cs="Arial"/>
        </w:rPr>
        <w:t xml:space="preserve">Adding the total amount of funding schools receive through the TPG, TPECG and supplementary fund in respect of their reception to Year 11 pupils onto their baselines, used to calculate any funding protection for the schools </w:t>
      </w:r>
      <w:r>
        <w:rPr>
          <w:rFonts w:ascii="Arial" w:hAnsi="Arial" w:cs="Arial"/>
        </w:rPr>
        <w:t xml:space="preserve">through the minimum funding guarantee. </w:t>
      </w:r>
    </w:p>
    <w:p w14:paraId="03C36778" w14:textId="1379F0C7" w:rsidR="00D41C2E" w:rsidRDefault="00D41C2E" w:rsidP="00D41C2E">
      <w:pPr>
        <w:ind w:left="709"/>
        <w:rPr>
          <w:rFonts w:ascii="Arial" w:hAnsi="Arial" w:cs="Arial"/>
        </w:rPr>
      </w:pPr>
    </w:p>
    <w:p w14:paraId="4816B9F7" w14:textId="2872B515" w:rsidR="00D41C2E" w:rsidRPr="00D41C2E" w:rsidRDefault="00D41C2E" w:rsidP="00D41C2E">
      <w:pPr>
        <w:ind w:left="709"/>
        <w:rPr>
          <w:rFonts w:ascii="Arial" w:hAnsi="Arial" w:cs="Arial"/>
        </w:rPr>
      </w:pPr>
      <w:r>
        <w:rPr>
          <w:rFonts w:ascii="Arial" w:hAnsi="Arial" w:cs="Arial"/>
        </w:rPr>
        <w:t>For schools funded through the high needs budget i.e. special schools</w:t>
      </w:r>
      <w:r w:rsidR="00C15536">
        <w:rPr>
          <w:rFonts w:ascii="Arial" w:hAnsi="Arial" w:cs="Arial"/>
        </w:rPr>
        <w:t>,</w:t>
      </w:r>
      <w:r>
        <w:rPr>
          <w:rFonts w:ascii="Arial" w:hAnsi="Arial" w:cs="Arial"/>
        </w:rPr>
        <w:t xml:space="preserve"> proposals have yet been finalised</w:t>
      </w:r>
      <w:r w:rsidR="00206BDE">
        <w:rPr>
          <w:rFonts w:ascii="Arial" w:hAnsi="Arial" w:cs="Arial"/>
        </w:rPr>
        <w:t xml:space="preserve"> but could include increasing the core funding level of £10,000</w:t>
      </w:r>
      <w:r>
        <w:rPr>
          <w:rFonts w:ascii="Arial" w:hAnsi="Arial" w:cs="Arial"/>
        </w:rPr>
        <w:t xml:space="preserve">.  </w:t>
      </w:r>
    </w:p>
    <w:p w14:paraId="51F09E88" w14:textId="77777777" w:rsidR="00D41C2E" w:rsidRPr="00D41C2E" w:rsidRDefault="00D41C2E" w:rsidP="00D41C2E">
      <w:pPr>
        <w:rPr>
          <w:rFonts w:ascii="Arial" w:hAnsi="Arial" w:cs="Arial"/>
        </w:rPr>
      </w:pPr>
    </w:p>
    <w:p w14:paraId="41BDBE7D" w14:textId="2DBBF296" w:rsidR="00D41C2E" w:rsidRDefault="000F099C" w:rsidP="00CE078B">
      <w:pPr>
        <w:ind w:left="709" w:hanging="709"/>
        <w:rPr>
          <w:rFonts w:ascii="Arial" w:hAnsi="Arial" w:cs="Arial"/>
        </w:rPr>
      </w:pPr>
      <w:r>
        <w:rPr>
          <w:rFonts w:ascii="Arial" w:hAnsi="Arial" w:cs="Arial"/>
        </w:rPr>
        <w:t>3.6</w:t>
      </w:r>
      <w:r>
        <w:rPr>
          <w:rFonts w:ascii="Arial" w:hAnsi="Arial" w:cs="Arial"/>
        </w:rPr>
        <w:tab/>
      </w:r>
      <w:r w:rsidR="00D41C2E">
        <w:rPr>
          <w:rFonts w:ascii="Arial" w:hAnsi="Arial" w:cs="Arial"/>
        </w:rPr>
        <w:t xml:space="preserve">The DFE are starting to recognise </w:t>
      </w:r>
      <w:r w:rsidR="00206BDE">
        <w:rPr>
          <w:rFonts w:ascii="Arial" w:hAnsi="Arial" w:cs="Arial"/>
        </w:rPr>
        <w:t xml:space="preserve">the need to provide more support for small schools through the NFF however the initial proposals were focused on remote small </w:t>
      </w:r>
      <w:r w:rsidR="00206BDE" w:rsidRPr="00206BDE">
        <w:rPr>
          <w:rFonts w:ascii="Arial" w:hAnsi="Arial" w:cs="Arial"/>
        </w:rPr>
        <w:t>primary schools</w:t>
      </w:r>
      <w:r w:rsidR="00206BDE">
        <w:rPr>
          <w:rFonts w:ascii="Arial" w:hAnsi="Arial" w:cs="Arial"/>
        </w:rPr>
        <w:t xml:space="preserve"> rather than all small primary schools. There was a suggestion the sparsity factor rate for primaries </w:t>
      </w:r>
      <w:r w:rsidR="00C15536">
        <w:rPr>
          <w:rFonts w:ascii="Arial" w:hAnsi="Arial" w:cs="Arial"/>
        </w:rPr>
        <w:t>c</w:t>
      </w:r>
      <w:r w:rsidR="00206BDE">
        <w:rPr>
          <w:rFonts w:ascii="Arial" w:hAnsi="Arial" w:cs="Arial"/>
        </w:rPr>
        <w:t xml:space="preserve">ould be increased in 2021-22 with further proposals in 2022-23 to expand the number of small schools that would benefit from this factor. Although this </w:t>
      </w:r>
      <w:r w:rsidR="00C15536">
        <w:rPr>
          <w:rFonts w:ascii="Arial" w:hAnsi="Arial" w:cs="Arial"/>
        </w:rPr>
        <w:t xml:space="preserve">is </w:t>
      </w:r>
      <w:r w:rsidR="00206BDE">
        <w:rPr>
          <w:rFonts w:ascii="Arial" w:hAnsi="Arial" w:cs="Arial"/>
        </w:rPr>
        <w:t xml:space="preserve">welcome, in Kent there are 455 primaries of which 85 could be </w:t>
      </w:r>
      <w:r w:rsidR="00C15536">
        <w:rPr>
          <w:rFonts w:ascii="Arial" w:hAnsi="Arial" w:cs="Arial"/>
        </w:rPr>
        <w:t>categorised</w:t>
      </w:r>
      <w:r w:rsidR="00206BDE">
        <w:rPr>
          <w:rFonts w:ascii="Arial" w:hAnsi="Arial" w:cs="Arial"/>
        </w:rPr>
        <w:t xml:space="preserve"> as small </w:t>
      </w:r>
      <w:r w:rsidR="00C15536">
        <w:rPr>
          <w:rFonts w:ascii="Arial" w:hAnsi="Arial" w:cs="Arial"/>
        </w:rPr>
        <w:t xml:space="preserve">(under 150 pupils) </w:t>
      </w:r>
      <w:r w:rsidR="00206BDE">
        <w:rPr>
          <w:rFonts w:ascii="Arial" w:hAnsi="Arial" w:cs="Arial"/>
        </w:rPr>
        <w:t xml:space="preserve">and only 16 </w:t>
      </w:r>
      <w:r w:rsidR="00956F71">
        <w:rPr>
          <w:rFonts w:ascii="Arial" w:hAnsi="Arial" w:cs="Arial"/>
        </w:rPr>
        <w:t xml:space="preserve">of these schools </w:t>
      </w:r>
      <w:r w:rsidR="00206BDE">
        <w:rPr>
          <w:rFonts w:ascii="Arial" w:hAnsi="Arial" w:cs="Arial"/>
        </w:rPr>
        <w:t xml:space="preserve">would currently meet the criteria to receive sparsity </w:t>
      </w:r>
      <w:r w:rsidR="00C15536">
        <w:rPr>
          <w:rFonts w:ascii="Arial" w:hAnsi="Arial" w:cs="Arial"/>
        </w:rPr>
        <w:t>funding</w:t>
      </w:r>
      <w:r w:rsidR="00206BDE">
        <w:rPr>
          <w:rFonts w:ascii="Arial" w:hAnsi="Arial" w:cs="Arial"/>
        </w:rPr>
        <w:t xml:space="preserve"> </w:t>
      </w:r>
      <w:r w:rsidR="00956F71">
        <w:rPr>
          <w:rFonts w:ascii="Arial" w:hAnsi="Arial" w:cs="Arial"/>
        </w:rPr>
        <w:t>under</w:t>
      </w:r>
      <w:r w:rsidR="00206BDE">
        <w:rPr>
          <w:rFonts w:ascii="Arial" w:hAnsi="Arial" w:cs="Arial"/>
        </w:rPr>
        <w:t xml:space="preserve"> the NFF.</w:t>
      </w:r>
      <w:r w:rsidR="00956F71">
        <w:rPr>
          <w:rFonts w:ascii="Arial" w:hAnsi="Arial" w:cs="Arial"/>
        </w:rPr>
        <w:t xml:space="preserve"> </w:t>
      </w:r>
      <w:r w:rsidR="004908AD">
        <w:rPr>
          <w:rFonts w:ascii="Arial" w:hAnsi="Arial" w:cs="Arial"/>
        </w:rPr>
        <w:t>General f</w:t>
      </w:r>
      <w:r w:rsidR="00956F71">
        <w:rPr>
          <w:rFonts w:ascii="Arial" w:hAnsi="Arial" w:cs="Arial"/>
        </w:rPr>
        <w:t xml:space="preserve">eedback from local authorities has been the need to do more. </w:t>
      </w:r>
      <w:r w:rsidR="00206BDE">
        <w:rPr>
          <w:rFonts w:ascii="Arial" w:hAnsi="Arial" w:cs="Arial"/>
        </w:rPr>
        <w:t xml:space="preserve"> </w:t>
      </w:r>
    </w:p>
    <w:p w14:paraId="195B4A08" w14:textId="77777777" w:rsidR="00D41C2E" w:rsidRDefault="00D41C2E" w:rsidP="00CE078B">
      <w:pPr>
        <w:ind w:left="709" w:hanging="709"/>
        <w:rPr>
          <w:rFonts w:ascii="Arial" w:hAnsi="Arial" w:cs="Arial"/>
        </w:rPr>
      </w:pPr>
    </w:p>
    <w:p w14:paraId="4509A2F6" w14:textId="51A62261" w:rsidR="00C3096B" w:rsidRDefault="00C15536" w:rsidP="00CE078B">
      <w:pPr>
        <w:ind w:left="709" w:hanging="709"/>
        <w:rPr>
          <w:rFonts w:ascii="Arial" w:hAnsi="Arial" w:cs="Arial"/>
        </w:rPr>
      </w:pPr>
      <w:r>
        <w:rPr>
          <w:rFonts w:ascii="Arial" w:hAnsi="Arial" w:cs="Arial"/>
        </w:rPr>
        <w:t>3.7</w:t>
      </w:r>
      <w:r>
        <w:rPr>
          <w:rFonts w:ascii="Arial" w:hAnsi="Arial" w:cs="Arial"/>
        </w:rPr>
        <w:tab/>
      </w:r>
      <w:r w:rsidR="00626A73">
        <w:rPr>
          <w:rFonts w:ascii="Arial" w:hAnsi="Arial" w:cs="Arial"/>
        </w:rPr>
        <w:t xml:space="preserve">The DFE have also recognised the </w:t>
      </w:r>
      <w:r w:rsidR="00626A73" w:rsidRPr="00626A73">
        <w:rPr>
          <w:rFonts w:ascii="Arial" w:hAnsi="Arial" w:cs="Arial"/>
        </w:rPr>
        <w:t xml:space="preserve">lack of 2020 data for both the Early Years foundation stage profile and KS2 assessments will have implications for the Low Prior Attainment (LPA) factor in the local formulae for 2021-22. </w:t>
      </w:r>
      <w:r w:rsidR="00626A73">
        <w:rPr>
          <w:rFonts w:ascii="Arial" w:hAnsi="Arial" w:cs="Arial"/>
        </w:rPr>
        <w:t>There is no indication as to how this will be resolved at this stage.</w:t>
      </w:r>
    </w:p>
    <w:p w14:paraId="784C2F2A" w14:textId="77777777" w:rsidR="001B32F9" w:rsidRDefault="001B32F9" w:rsidP="00CE078B">
      <w:pPr>
        <w:ind w:left="709" w:hanging="709"/>
        <w:rPr>
          <w:rFonts w:ascii="Arial" w:hAnsi="Arial" w:cs="Arial"/>
        </w:rPr>
      </w:pPr>
      <w:r>
        <w:rPr>
          <w:rFonts w:ascii="Arial" w:hAnsi="Arial" w:cs="Arial"/>
        </w:rPr>
        <w:tab/>
      </w:r>
    </w:p>
    <w:p w14:paraId="2A370E04" w14:textId="26DCD077" w:rsidR="001B32F9" w:rsidRPr="008C48A1" w:rsidRDefault="002D3739" w:rsidP="008C48A1">
      <w:pPr>
        <w:ind w:left="709"/>
        <w:rPr>
          <w:rFonts w:ascii="Arial" w:hAnsi="Arial" w:cs="Arial"/>
          <w:u w:val="single"/>
        </w:rPr>
      </w:pPr>
      <w:r>
        <w:rPr>
          <w:rFonts w:ascii="Arial" w:hAnsi="Arial" w:cs="Arial"/>
          <w:u w:val="single"/>
        </w:rPr>
        <w:t>Other Grant Changes in 2021-22</w:t>
      </w:r>
    </w:p>
    <w:p w14:paraId="732AFFE8" w14:textId="5240C46E" w:rsidR="009939EA" w:rsidRDefault="001B32F9" w:rsidP="008C48A1">
      <w:pPr>
        <w:ind w:left="709" w:hanging="709"/>
        <w:rPr>
          <w:rFonts w:ascii="Arial" w:hAnsi="Arial" w:cs="Arial"/>
        </w:rPr>
      </w:pPr>
      <w:r>
        <w:rPr>
          <w:rFonts w:ascii="Arial" w:hAnsi="Arial" w:cs="Arial"/>
        </w:rPr>
        <w:t>3.5</w:t>
      </w:r>
      <w:r>
        <w:rPr>
          <w:rFonts w:ascii="Arial" w:hAnsi="Arial" w:cs="Arial"/>
        </w:rPr>
        <w:tab/>
      </w:r>
      <w:r w:rsidR="009939EA">
        <w:rPr>
          <w:rFonts w:ascii="Arial" w:hAnsi="Arial" w:cs="Arial"/>
        </w:rPr>
        <w:t>In the 2020 Budget statement the Government committed to the following:</w:t>
      </w:r>
    </w:p>
    <w:p w14:paraId="540866E2" w14:textId="20DD350A" w:rsidR="001B32F9" w:rsidRDefault="009939EA" w:rsidP="009939EA">
      <w:pPr>
        <w:ind w:left="709"/>
        <w:rPr>
          <w:rFonts w:ascii="Arial" w:hAnsi="Arial" w:cs="Arial"/>
        </w:rPr>
      </w:pPr>
      <w:r>
        <w:rPr>
          <w:rFonts w:ascii="Arial" w:hAnsi="Arial" w:cs="Arial"/>
        </w:rPr>
        <w:lastRenderedPageBreak/>
        <w:t>“</w:t>
      </w:r>
      <w:r w:rsidRPr="009939EA">
        <w:rPr>
          <w:rFonts w:ascii="Arial" w:hAnsi="Arial" w:cs="Arial"/>
        </w:rPr>
        <w:t>providing £29 million per year by 2023-24 to support primary school PE teaching and help schools make the best use of their sports facilities, as well as £90 million per year to introduce an Arts Premium from September 2021 to help schools provide high-quality arts programmes and extracurricular activities for pupils</w:t>
      </w:r>
      <w:r>
        <w:rPr>
          <w:rFonts w:ascii="Arial" w:hAnsi="Arial" w:cs="Arial"/>
        </w:rPr>
        <w:t>”</w:t>
      </w:r>
      <w:r w:rsidR="008C48A1">
        <w:rPr>
          <w:rFonts w:ascii="Arial" w:hAnsi="Arial" w:cs="Arial"/>
        </w:rPr>
        <w:t xml:space="preserve">. The Primary PE sports grant is given on an academic </w:t>
      </w:r>
      <w:r w:rsidR="00FE2455">
        <w:rPr>
          <w:rFonts w:ascii="Arial" w:hAnsi="Arial" w:cs="Arial"/>
        </w:rPr>
        <w:t>year basis and it has recently been confirmation it will continue at its current level in 2020-21.</w:t>
      </w:r>
    </w:p>
    <w:p w14:paraId="7B073CDC" w14:textId="5FB6B669" w:rsidR="001B32F9" w:rsidRDefault="001B32F9" w:rsidP="00CE078B">
      <w:pPr>
        <w:ind w:left="709" w:hanging="709"/>
        <w:rPr>
          <w:rFonts w:ascii="Arial" w:hAnsi="Arial" w:cs="Arial"/>
        </w:rPr>
      </w:pPr>
    </w:p>
    <w:p w14:paraId="5598862D" w14:textId="6EB0A6D1" w:rsidR="001B32F9" w:rsidRDefault="001B32F9" w:rsidP="00CE078B">
      <w:pPr>
        <w:ind w:left="709" w:hanging="709"/>
        <w:rPr>
          <w:rFonts w:ascii="Arial" w:hAnsi="Arial" w:cs="Arial"/>
        </w:rPr>
      </w:pPr>
      <w:r>
        <w:rPr>
          <w:rFonts w:ascii="Arial" w:hAnsi="Arial" w:cs="Arial"/>
        </w:rPr>
        <w:t>3.6</w:t>
      </w:r>
      <w:r>
        <w:rPr>
          <w:rFonts w:ascii="Arial" w:hAnsi="Arial" w:cs="Arial"/>
        </w:rPr>
        <w:tab/>
      </w:r>
      <w:r w:rsidR="00626A73">
        <w:rPr>
          <w:rFonts w:ascii="Arial" w:hAnsi="Arial" w:cs="Arial"/>
        </w:rPr>
        <w:t xml:space="preserve">You will </w:t>
      </w:r>
      <w:r w:rsidR="009939EA">
        <w:rPr>
          <w:rFonts w:ascii="Arial" w:hAnsi="Arial" w:cs="Arial"/>
        </w:rPr>
        <w:t xml:space="preserve">already </w:t>
      </w:r>
      <w:r w:rsidR="00626A73">
        <w:rPr>
          <w:rFonts w:ascii="Arial" w:hAnsi="Arial" w:cs="Arial"/>
        </w:rPr>
        <w:t xml:space="preserve">be </w:t>
      </w:r>
      <w:r w:rsidR="009939EA">
        <w:rPr>
          <w:rFonts w:ascii="Arial" w:hAnsi="Arial" w:cs="Arial"/>
        </w:rPr>
        <w:t xml:space="preserve">aware of the ending of the Year 7 catch up funding from August 2020. Grant announcements </w:t>
      </w:r>
      <w:r w:rsidR="008C48A1">
        <w:rPr>
          <w:rFonts w:ascii="Arial" w:hAnsi="Arial" w:cs="Arial"/>
        </w:rPr>
        <w:t xml:space="preserve">are </w:t>
      </w:r>
      <w:r w:rsidR="009939EA">
        <w:rPr>
          <w:rFonts w:ascii="Arial" w:hAnsi="Arial" w:cs="Arial"/>
        </w:rPr>
        <w:t xml:space="preserve">normally </w:t>
      </w:r>
      <w:r w:rsidR="00626A73">
        <w:rPr>
          <w:rFonts w:ascii="Arial" w:hAnsi="Arial" w:cs="Arial"/>
        </w:rPr>
        <w:t xml:space="preserve">made </w:t>
      </w:r>
      <w:r w:rsidR="009939EA">
        <w:rPr>
          <w:rFonts w:ascii="Arial" w:hAnsi="Arial" w:cs="Arial"/>
        </w:rPr>
        <w:t>later in the year an</w:t>
      </w:r>
      <w:r w:rsidR="00626A73">
        <w:rPr>
          <w:rFonts w:ascii="Arial" w:hAnsi="Arial" w:cs="Arial"/>
        </w:rPr>
        <w:t>d we are not expecting to hear any further information until the Autumn term (or beyond)</w:t>
      </w:r>
      <w:r w:rsidR="009939EA">
        <w:rPr>
          <w:rFonts w:ascii="Arial" w:hAnsi="Arial" w:cs="Arial"/>
        </w:rPr>
        <w:t>.</w:t>
      </w:r>
      <w:r w:rsidR="00626A73">
        <w:rPr>
          <w:rFonts w:ascii="Arial" w:hAnsi="Arial" w:cs="Arial"/>
        </w:rPr>
        <w:t xml:space="preserve"> </w:t>
      </w:r>
    </w:p>
    <w:p w14:paraId="648FC810" w14:textId="77777777" w:rsidR="009939EA" w:rsidRDefault="009939EA" w:rsidP="00CE078B">
      <w:pPr>
        <w:ind w:left="709" w:hanging="709"/>
        <w:rPr>
          <w:rFonts w:ascii="Arial" w:hAnsi="Arial" w:cs="Arial"/>
        </w:rPr>
      </w:pPr>
    </w:p>
    <w:p w14:paraId="26A1CC62" w14:textId="12718E07" w:rsidR="001B32F9" w:rsidRPr="002D3739" w:rsidRDefault="002D3739" w:rsidP="00CE078B">
      <w:pPr>
        <w:ind w:left="709" w:hanging="709"/>
        <w:rPr>
          <w:rFonts w:ascii="Arial" w:hAnsi="Arial" w:cs="Arial"/>
          <w:u w:val="single"/>
        </w:rPr>
      </w:pPr>
      <w:r>
        <w:rPr>
          <w:rFonts w:ascii="Arial" w:hAnsi="Arial" w:cs="Arial"/>
        </w:rPr>
        <w:tab/>
      </w:r>
      <w:r w:rsidRPr="002D3739">
        <w:rPr>
          <w:rFonts w:ascii="Arial" w:hAnsi="Arial" w:cs="Arial"/>
          <w:u w:val="single"/>
        </w:rPr>
        <w:t>Central Schools Services Block 2021-22</w:t>
      </w:r>
    </w:p>
    <w:p w14:paraId="7F80C8F6" w14:textId="2DB22719" w:rsidR="001B32F9" w:rsidRDefault="001B32F9" w:rsidP="00CE078B">
      <w:pPr>
        <w:ind w:left="709" w:hanging="709"/>
        <w:rPr>
          <w:rFonts w:ascii="Arial" w:hAnsi="Arial" w:cs="Arial"/>
        </w:rPr>
      </w:pPr>
      <w:r>
        <w:rPr>
          <w:rFonts w:ascii="Arial" w:hAnsi="Arial" w:cs="Arial"/>
        </w:rPr>
        <w:t>3.7</w:t>
      </w:r>
      <w:r>
        <w:rPr>
          <w:rFonts w:ascii="Arial" w:hAnsi="Arial" w:cs="Arial"/>
        </w:rPr>
        <w:tab/>
      </w:r>
      <w:r w:rsidR="002D3739">
        <w:rPr>
          <w:rFonts w:ascii="Arial" w:hAnsi="Arial" w:cs="Arial"/>
        </w:rPr>
        <w:t xml:space="preserve">The CSSB </w:t>
      </w:r>
      <w:r w:rsidR="008F447F">
        <w:rPr>
          <w:rFonts w:ascii="Arial" w:hAnsi="Arial" w:cs="Arial"/>
        </w:rPr>
        <w:t>includes an</w:t>
      </w:r>
      <w:r w:rsidR="002D3739">
        <w:rPr>
          <w:rFonts w:ascii="Arial" w:hAnsi="Arial" w:cs="Arial"/>
        </w:rPr>
        <w:t xml:space="preserve"> element</w:t>
      </w:r>
      <w:r w:rsidR="008F447F">
        <w:rPr>
          <w:rFonts w:ascii="Arial" w:hAnsi="Arial" w:cs="Arial"/>
        </w:rPr>
        <w:t xml:space="preserve"> of funding termed</w:t>
      </w:r>
      <w:r w:rsidR="002D3739">
        <w:rPr>
          <w:rFonts w:ascii="Arial" w:hAnsi="Arial" w:cs="Arial"/>
        </w:rPr>
        <w:t xml:space="preserve"> </w:t>
      </w:r>
      <w:r w:rsidR="008F447F">
        <w:rPr>
          <w:rFonts w:ascii="Arial" w:hAnsi="Arial" w:cs="Arial"/>
        </w:rPr>
        <w:t>“</w:t>
      </w:r>
      <w:r w:rsidR="002D3739">
        <w:rPr>
          <w:rFonts w:ascii="Arial" w:hAnsi="Arial" w:cs="Arial"/>
        </w:rPr>
        <w:t>historic commitments</w:t>
      </w:r>
      <w:r w:rsidR="008F447F">
        <w:rPr>
          <w:rFonts w:ascii="Arial" w:hAnsi="Arial" w:cs="Arial"/>
        </w:rPr>
        <w:t>”</w:t>
      </w:r>
      <w:r w:rsidR="002D3739">
        <w:rPr>
          <w:rFonts w:ascii="Arial" w:hAnsi="Arial" w:cs="Arial"/>
        </w:rPr>
        <w:t>. The historic commitments</w:t>
      </w:r>
      <w:r w:rsidR="008F447F">
        <w:rPr>
          <w:rFonts w:ascii="Arial" w:hAnsi="Arial" w:cs="Arial"/>
        </w:rPr>
        <w:t xml:space="preserve"> funding is based on previously agreed expenditure by Schools Funding Forum on Council services</w:t>
      </w:r>
      <w:r w:rsidR="002D3739">
        <w:rPr>
          <w:rFonts w:ascii="Arial" w:hAnsi="Arial" w:cs="Arial"/>
        </w:rPr>
        <w:t xml:space="preserve">. The DFE set out its intention to </w:t>
      </w:r>
      <w:r w:rsidR="00956F71">
        <w:rPr>
          <w:rFonts w:ascii="Arial" w:hAnsi="Arial" w:cs="Arial"/>
        </w:rPr>
        <w:t xml:space="preserve">start to </w:t>
      </w:r>
      <w:r w:rsidR="002D3739">
        <w:rPr>
          <w:rFonts w:ascii="Arial" w:hAnsi="Arial" w:cs="Arial"/>
        </w:rPr>
        <w:t>wind down the funding for the historic commitments of element of the CSSB</w:t>
      </w:r>
      <w:r w:rsidR="00956F71">
        <w:rPr>
          <w:rFonts w:ascii="Arial" w:hAnsi="Arial" w:cs="Arial"/>
        </w:rPr>
        <w:t xml:space="preserve"> in 2019</w:t>
      </w:r>
      <w:r w:rsidR="002D3739">
        <w:rPr>
          <w:rFonts w:ascii="Arial" w:hAnsi="Arial" w:cs="Arial"/>
        </w:rPr>
        <w:t xml:space="preserve">. This grant was cut by 20% as part of the 2021-22 budget </w:t>
      </w:r>
      <w:r w:rsidR="00956F71">
        <w:rPr>
          <w:rFonts w:ascii="Arial" w:hAnsi="Arial" w:cs="Arial"/>
        </w:rPr>
        <w:t xml:space="preserve">(£1.4m) </w:t>
      </w:r>
      <w:r w:rsidR="002D3739">
        <w:rPr>
          <w:rFonts w:ascii="Arial" w:hAnsi="Arial" w:cs="Arial"/>
        </w:rPr>
        <w:t>and is expected to be cut by a further 20% each year after</w:t>
      </w:r>
      <w:r w:rsidR="00956F71">
        <w:rPr>
          <w:rFonts w:ascii="Arial" w:hAnsi="Arial" w:cs="Arial"/>
        </w:rPr>
        <w:t xml:space="preserve">. </w:t>
      </w:r>
      <w:r w:rsidR="00FE2455" w:rsidRPr="00FE2455">
        <w:rPr>
          <w:rFonts w:ascii="Arial" w:hAnsi="Arial" w:cs="Arial"/>
        </w:rPr>
        <w:t xml:space="preserve">In the short-term this has been addressed </w:t>
      </w:r>
      <w:r w:rsidR="00FE2455">
        <w:rPr>
          <w:rFonts w:ascii="Arial" w:hAnsi="Arial" w:cs="Arial"/>
        </w:rPr>
        <w:t xml:space="preserve">through the Council’s </w:t>
      </w:r>
      <w:r w:rsidR="00FE2455" w:rsidRPr="00FE2455">
        <w:rPr>
          <w:rFonts w:ascii="Arial" w:hAnsi="Arial" w:cs="Arial"/>
        </w:rPr>
        <w:t>2020-23 Medium Term Financial Plan without any direct impact to schools</w:t>
      </w:r>
      <w:r w:rsidR="008F447F">
        <w:rPr>
          <w:rFonts w:ascii="Arial" w:hAnsi="Arial" w:cs="Arial"/>
        </w:rPr>
        <w:t xml:space="preserve">. </w:t>
      </w:r>
      <w:r w:rsidR="00FE2455" w:rsidRPr="00FE2455">
        <w:rPr>
          <w:rFonts w:ascii="Arial" w:hAnsi="Arial" w:cs="Arial"/>
        </w:rPr>
        <w:t xml:space="preserve"> </w:t>
      </w:r>
      <w:r w:rsidR="008F447F">
        <w:rPr>
          <w:rFonts w:ascii="Arial" w:hAnsi="Arial" w:cs="Arial"/>
        </w:rPr>
        <w:t>During</w:t>
      </w:r>
      <w:r w:rsidR="00FE2455" w:rsidRPr="00FE2455">
        <w:rPr>
          <w:rFonts w:ascii="Arial" w:hAnsi="Arial" w:cs="Arial"/>
        </w:rPr>
        <w:t xml:space="preserve"> </w:t>
      </w:r>
      <w:r w:rsidR="00FE2455">
        <w:rPr>
          <w:rFonts w:ascii="Arial" w:hAnsi="Arial" w:cs="Arial"/>
        </w:rPr>
        <w:t>this</w:t>
      </w:r>
      <w:r w:rsidR="00FE2455" w:rsidRPr="00FE2455">
        <w:rPr>
          <w:rFonts w:ascii="Arial" w:hAnsi="Arial" w:cs="Arial"/>
        </w:rPr>
        <w:t xml:space="preserve"> year </w:t>
      </w:r>
      <w:r w:rsidR="00A5090C">
        <w:rPr>
          <w:rFonts w:ascii="Arial" w:hAnsi="Arial" w:cs="Arial"/>
        </w:rPr>
        <w:t>the Council</w:t>
      </w:r>
      <w:r w:rsidR="00FE2455" w:rsidRPr="00FE2455">
        <w:rPr>
          <w:rFonts w:ascii="Arial" w:hAnsi="Arial" w:cs="Arial"/>
        </w:rPr>
        <w:t xml:space="preserve"> will be reviewing </w:t>
      </w:r>
      <w:r w:rsidR="00A5090C">
        <w:rPr>
          <w:rFonts w:ascii="Arial" w:hAnsi="Arial" w:cs="Arial"/>
        </w:rPr>
        <w:t>the</w:t>
      </w:r>
      <w:r w:rsidR="008F447F">
        <w:rPr>
          <w:rFonts w:ascii="Arial" w:hAnsi="Arial" w:cs="Arial"/>
        </w:rPr>
        <w:t xml:space="preserve"> options </w:t>
      </w:r>
      <w:r w:rsidR="00A5090C">
        <w:rPr>
          <w:rFonts w:ascii="Arial" w:hAnsi="Arial" w:cs="Arial"/>
        </w:rPr>
        <w:t xml:space="preserve">available </w:t>
      </w:r>
      <w:r w:rsidR="008F447F">
        <w:rPr>
          <w:rFonts w:ascii="Arial" w:hAnsi="Arial" w:cs="Arial"/>
        </w:rPr>
        <w:t>in line</w:t>
      </w:r>
      <w:r w:rsidR="00FE2455" w:rsidRPr="00FE2455">
        <w:rPr>
          <w:rFonts w:ascii="Arial" w:hAnsi="Arial" w:cs="Arial"/>
        </w:rPr>
        <w:t xml:space="preserve"> with Government policy and funding</w:t>
      </w:r>
      <w:r w:rsidR="00A5090C">
        <w:rPr>
          <w:rFonts w:ascii="Arial" w:hAnsi="Arial" w:cs="Arial"/>
        </w:rPr>
        <w:t xml:space="preserve"> to minimise the impact of these cuts. </w:t>
      </w:r>
    </w:p>
    <w:p w14:paraId="65C1E15E" w14:textId="59EFB8E6" w:rsidR="00AB77A3" w:rsidRDefault="00AB77A3" w:rsidP="008F447F">
      <w:pPr>
        <w:rPr>
          <w:rFonts w:ascii="Arial" w:hAnsi="Arial" w:cs="Arial"/>
        </w:rPr>
      </w:pPr>
    </w:p>
    <w:p w14:paraId="0C61A719" w14:textId="19542B59" w:rsidR="00415E3A" w:rsidRDefault="00415E3A" w:rsidP="00773A93">
      <w:pPr>
        <w:rPr>
          <w:rFonts w:ascii="Arial" w:hAnsi="Arial" w:cs="Arial"/>
        </w:rPr>
      </w:pPr>
    </w:p>
    <w:p w14:paraId="4D0FB0D3" w14:textId="6DFF7108" w:rsidR="00415E3A" w:rsidRDefault="00415E3A" w:rsidP="00773A93">
      <w:pPr>
        <w:rPr>
          <w:rFonts w:ascii="Arial" w:hAnsi="Arial" w:cs="Arial"/>
        </w:rPr>
      </w:pPr>
    </w:p>
    <w:p w14:paraId="7BA02CB3" w14:textId="4ADFC557" w:rsidR="00415E3A" w:rsidRDefault="00415E3A" w:rsidP="00773A93">
      <w:pPr>
        <w:rPr>
          <w:rFonts w:ascii="Arial" w:hAnsi="Arial" w:cs="Arial"/>
        </w:rPr>
      </w:pPr>
    </w:p>
    <w:p w14:paraId="05A26D41" w14:textId="43461780" w:rsidR="00415E3A" w:rsidRDefault="00415E3A" w:rsidP="00773A93">
      <w:pPr>
        <w:rPr>
          <w:rFonts w:ascii="Arial" w:hAnsi="Arial" w:cs="Arial"/>
        </w:rPr>
      </w:pPr>
    </w:p>
    <w:sectPr w:rsidR="00415E3A" w:rsidSect="00AA66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069CFE" w14:textId="77777777" w:rsidR="00F612ED" w:rsidRDefault="00F612ED" w:rsidP="00807DDC">
      <w:r>
        <w:separator/>
      </w:r>
    </w:p>
  </w:endnote>
  <w:endnote w:type="continuationSeparator" w:id="0">
    <w:p w14:paraId="5D2547B4" w14:textId="77777777" w:rsidR="00F612ED" w:rsidRDefault="00F612ED" w:rsidP="0080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2CBBD4" w14:textId="77777777" w:rsidR="00F612ED" w:rsidRDefault="00F612ED" w:rsidP="00807DDC">
      <w:r>
        <w:separator/>
      </w:r>
    </w:p>
  </w:footnote>
  <w:footnote w:type="continuationSeparator" w:id="0">
    <w:p w14:paraId="07E79AFF" w14:textId="77777777" w:rsidR="00F612ED" w:rsidRDefault="00F612ED" w:rsidP="00807DDC">
      <w:r>
        <w:continuationSeparator/>
      </w:r>
    </w:p>
  </w:footnote>
  <w:footnote w:id="1">
    <w:p w14:paraId="09475FC5" w14:textId="1231C39D" w:rsidR="00AA6619" w:rsidRDefault="00AA6619" w:rsidP="00AA6619">
      <w:pPr>
        <w:pStyle w:val="Footer"/>
      </w:pPr>
      <w:r>
        <w:rPr>
          <w:rStyle w:val="FootnoteReference"/>
        </w:rPr>
        <w:footnoteRef/>
      </w:r>
      <w:r>
        <w:t xml:space="preserve"> IDACI is an area-based index measuring the relative deprivation of different </w:t>
      </w:r>
      <w:proofErr w:type="gramStart"/>
      <w:r>
        <w:t>areas, and</w:t>
      </w:r>
      <w:proofErr w:type="gramEnd"/>
      <w:r>
        <w:t xml:space="preserve"> ascribes a score as well as a rank to each Lower-level Super Output Area (LSOA). </w:t>
      </w:r>
    </w:p>
    <w:p w14:paraId="601C3D37" w14:textId="685468DA" w:rsidR="00AA6619" w:rsidRDefault="00AA661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2565E"/>
    <w:multiLevelType w:val="hybridMultilevel"/>
    <w:tmpl w:val="49F6BAC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 w15:restartNumberingAfterBreak="0">
    <w:nsid w:val="19EA59A8"/>
    <w:multiLevelType w:val="hybridMultilevel"/>
    <w:tmpl w:val="9698D6B0"/>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 w15:restartNumberingAfterBreak="0">
    <w:nsid w:val="19EF1AA8"/>
    <w:multiLevelType w:val="hybridMultilevel"/>
    <w:tmpl w:val="A97A3762"/>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3" w15:restartNumberingAfterBreak="0">
    <w:nsid w:val="225722F3"/>
    <w:multiLevelType w:val="hybridMultilevel"/>
    <w:tmpl w:val="0C7C4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5C1B8A"/>
    <w:multiLevelType w:val="hybridMultilevel"/>
    <w:tmpl w:val="8BDAB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274F0"/>
    <w:multiLevelType w:val="hybridMultilevel"/>
    <w:tmpl w:val="D14CFF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F4E3E"/>
    <w:multiLevelType w:val="hybridMultilevel"/>
    <w:tmpl w:val="CD18C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723882"/>
    <w:multiLevelType w:val="hybridMultilevel"/>
    <w:tmpl w:val="2E389998"/>
    <w:lvl w:ilvl="0" w:tplc="5E54407C">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B4D0B"/>
    <w:multiLevelType w:val="hybridMultilevel"/>
    <w:tmpl w:val="E13C4FD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9" w15:restartNumberingAfterBreak="0">
    <w:nsid w:val="60C4035E"/>
    <w:multiLevelType w:val="multilevel"/>
    <w:tmpl w:val="F69C5E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41A003C"/>
    <w:multiLevelType w:val="hybridMultilevel"/>
    <w:tmpl w:val="797E7884"/>
    <w:lvl w:ilvl="0" w:tplc="08090001">
      <w:start w:val="1"/>
      <w:numFmt w:val="bullet"/>
      <w:lvlText w:val=""/>
      <w:lvlJc w:val="left"/>
      <w:pPr>
        <w:ind w:left="1575" w:hanging="360"/>
      </w:pPr>
      <w:rPr>
        <w:rFonts w:ascii="Symbol" w:hAnsi="Symbol" w:hint="default"/>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1" w15:restartNumberingAfterBreak="0">
    <w:nsid w:val="6809616C"/>
    <w:multiLevelType w:val="multilevel"/>
    <w:tmpl w:val="F69C5E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13C58DF"/>
    <w:multiLevelType w:val="multilevel"/>
    <w:tmpl w:val="79B8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2608C2"/>
    <w:multiLevelType w:val="hybridMultilevel"/>
    <w:tmpl w:val="34DC369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num w:numId="1">
    <w:abstractNumId w:val="7"/>
  </w:num>
  <w:num w:numId="2">
    <w:abstractNumId w:val="5"/>
  </w:num>
  <w:num w:numId="3">
    <w:abstractNumId w:val="6"/>
  </w:num>
  <w:num w:numId="4">
    <w:abstractNumId w:val="11"/>
  </w:num>
  <w:num w:numId="5">
    <w:abstractNumId w:val="9"/>
  </w:num>
  <w:num w:numId="6">
    <w:abstractNumId w:val="12"/>
  </w:num>
  <w:num w:numId="7">
    <w:abstractNumId w:val="10"/>
  </w:num>
  <w:num w:numId="8">
    <w:abstractNumId w:val="3"/>
  </w:num>
  <w:num w:numId="9">
    <w:abstractNumId w:val="13"/>
  </w:num>
  <w:num w:numId="10">
    <w:abstractNumId w:val="2"/>
  </w:num>
  <w:num w:numId="11">
    <w:abstractNumId w:val="1"/>
  </w:num>
  <w:num w:numId="12">
    <w:abstractNumId w:val="0"/>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358"/>
    <w:rsid w:val="000316CA"/>
    <w:rsid w:val="00054442"/>
    <w:rsid w:val="000601B6"/>
    <w:rsid w:val="0006260B"/>
    <w:rsid w:val="00076466"/>
    <w:rsid w:val="00096DBB"/>
    <w:rsid w:val="000977CF"/>
    <w:rsid w:val="000C7960"/>
    <w:rsid w:val="000F099C"/>
    <w:rsid w:val="000F32AC"/>
    <w:rsid w:val="00107F49"/>
    <w:rsid w:val="0011188A"/>
    <w:rsid w:val="0012463E"/>
    <w:rsid w:val="00137733"/>
    <w:rsid w:val="001642A1"/>
    <w:rsid w:val="00166E49"/>
    <w:rsid w:val="001750E2"/>
    <w:rsid w:val="00181EBE"/>
    <w:rsid w:val="001845A1"/>
    <w:rsid w:val="001925EC"/>
    <w:rsid w:val="001A2856"/>
    <w:rsid w:val="001A7C09"/>
    <w:rsid w:val="001B32F9"/>
    <w:rsid w:val="001C2F84"/>
    <w:rsid w:val="001D306D"/>
    <w:rsid w:val="001F169B"/>
    <w:rsid w:val="00200DA3"/>
    <w:rsid w:val="002033B5"/>
    <w:rsid w:val="00206BDE"/>
    <w:rsid w:val="00221C9B"/>
    <w:rsid w:val="00246A50"/>
    <w:rsid w:val="00256996"/>
    <w:rsid w:val="002732C7"/>
    <w:rsid w:val="002D3739"/>
    <w:rsid w:val="002E324C"/>
    <w:rsid w:val="002E3E99"/>
    <w:rsid w:val="002E44E4"/>
    <w:rsid w:val="00303185"/>
    <w:rsid w:val="003106DB"/>
    <w:rsid w:val="00313C7D"/>
    <w:rsid w:val="00316DDB"/>
    <w:rsid w:val="00317BB8"/>
    <w:rsid w:val="0033328A"/>
    <w:rsid w:val="00336E80"/>
    <w:rsid w:val="00353AB1"/>
    <w:rsid w:val="00357494"/>
    <w:rsid w:val="00376172"/>
    <w:rsid w:val="0038723D"/>
    <w:rsid w:val="00391582"/>
    <w:rsid w:val="0039318B"/>
    <w:rsid w:val="003B2510"/>
    <w:rsid w:val="003E05FD"/>
    <w:rsid w:val="00415E3A"/>
    <w:rsid w:val="00417825"/>
    <w:rsid w:val="00430F54"/>
    <w:rsid w:val="0043383E"/>
    <w:rsid w:val="00433AA5"/>
    <w:rsid w:val="00443197"/>
    <w:rsid w:val="0046104F"/>
    <w:rsid w:val="0046152F"/>
    <w:rsid w:val="004660A4"/>
    <w:rsid w:val="00475206"/>
    <w:rsid w:val="00490233"/>
    <w:rsid w:val="004908AD"/>
    <w:rsid w:val="00497CAA"/>
    <w:rsid w:val="004B13D2"/>
    <w:rsid w:val="004C6449"/>
    <w:rsid w:val="004D381C"/>
    <w:rsid w:val="004D77BD"/>
    <w:rsid w:val="00504276"/>
    <w:rsid w:val="00515C31"/>
    <w:rsid w:val="005201FE"/>
    <w:rsid w:val="00526F81"/>
    <w:rsid w:val="005425E8"/>
    <w:rsid w:val="0054770A"/>
    <w:rsid w:val="0058142D"/>
    <w:rsid w:val="0058588E"/>
    <w:rsid w:val="0058746A"/>
    <w:rsid w:val="00592CAA"/>
    <w:rsid w:val="00595358"/>
    <w:rsid w:val="005A4319"/>
    <w:rsid w:val="005A5B57"/>
    <w:rsid w:val="006055BD"/>
    <w:rsid w:val="00606FF6"/>
    <w:rsid w:val="00610346"/>
    <w:rsid w:val="0061781E"/>
    <w:rsid w:val="00626A73"/>
    <w:rsid w:val="006345B3"/>
    <w:rsid w:val="00644D1A"/>
    <w:rsid w:val="00646B18"/>
    <w:rsid w:val="00661BD7"/>
    <w:rsid w:val="00686582"/>
    <w:rsid w:val="006A5AC5"/>
    <w:rsid w:val="006B1F91"/>
    <w:rsid w:val="006B34A6"/>
    <w:rsid w:val="006B4154"/>
    <w:rsid w:val="006C3EA3"/>
    <w:rsid w:val="006D642D"/>
    <w:rsid w:val="006E1CC4"/>
    <w:rsid w:val="00711C56"/>
    <w:rsid w:val="0071409D"/>
    <w:rsid w:val="00714DC9"/>
    <w:rsid w:val="00716388"/>
    <w:rsid w:val="00717F30"/>
    <w:rsid w:val="00740E9B"/>
    <w:rsid w:val="00745102"/>
    <w:rsid w:val="007562BC"/>
    <w:rsid w:val="007642B1"/>
    <w:rsid w:val="00773A93"/>
    <w:rsid w:val="00775CFE"/>
    <w:rsid w:val="007822CC"/>
    <w:rsid w:val="00782461"/>
    <w:rsid w:val="00793789"/>
    <w:rsid w:val="007A1740"/>
    <w:rsid w:val="007A7E96"/>
    <w:rsid w:val="007C0485"/>
    <w:rsid w:val="007C478D"/>
    <w:rsid w:val="007D28EE"/>
    <w:rsid w:val="007F18A3"/>
    <w:rsid w:val="007F4342"/>
    <w:rsid w:val="007F57E0"/>
    <w:rsid w:val="0080435E"/>
    <w:rsid w:val="00807DDC"/>
    <w:rsid w:val="008155BD"/>
    <w:rsid w:val="00823847"/>
    <w:rsid w:val="00832E7A"/>
    <w:rsid w:val="00836658"/>
    <w:rsid w:val="0085568B"/>
    <w:rsid w:val="00895AB7"/>
    <w:rsid w:val="00895F9D"/>
    <w:rsid w:val="008A4607"/>
    <w:rsid w:val="008B5CC3"/>
    <w:rsid w:val="008C48A1"/>
    <w:rsid w:val="008F447F"/>
    <w:rsid w:val="00910D7F"/>
    <w:rsid w:val="00924B39"/>
    <w:rsid w:val="009318AD"/>
    <w:rsid w:val="00952FD7"/>
    <w:rsid w:val="00956F71"/>
    <w:rsid w:val="0096681D"/>
    <w:rsid w:val="00985DA5"/>
    <w:rsid w:val="00993224"/>
    <w:rsid w:val="009939EA"/>
    <w:rsid w:val="009A76FF"/>
    <w:rsid w:val="009B3177"/>
    <w:rsid w:val="009B46EF"/>
    <w:rsid w:val="009C310A"/>
    <w:rsid w:val="009D5690"/>
    <w:rsid w:val="009F4C3C"/>
    <w:rsid w:val="00A027F5"/>
    <w:rsid w:val="00A2602C"/>
    <w:rsid w:val="00A313D7"/>
    <w:rsid w:val="00A315B9"/>
    <w:rsid w:val="00A432E8"/>
    <w:rsid w:val="00A44A02"/>
    <w:rsid w:val="00A5090C"/>
    <w:rsid w:val="00A667C4"/>
    <w:rsid w:val="00A672F4"/>
    <w:rsid w:val="00AA6619"/>
    <w:rsid w:val="00AA7D5F"/>
    <w:rsid w:val="00AB77A3"/>
    <w:rsid w:val="00AC3A1C"/>
    <w:rsid w:val="00AD1EB3"/>
    <w:rsid w:val="00AE5337"/>
    <w:rsid w:val="00AF0629"/>
    <w:rsid w:val="00B07EAB"/>
    <w:rsid w:val="00B126F9"/>
    <w:rsid w:val="00B246FD"/>
    <w:rsid w:val="00B53D25"/>
    <w:rsid w:val="00B63E4E"/>
    <w:rsid w:val="00B644A6"/>
    <w:rsid w:val="00B70CEB"/>
    <w:rsid w:val="00B91254"/>
    <w:rsid w:val="00BA1594"/>
    <w:rsid w:val="00BB2904"/>
    <w:rsid w:val="00BD29F5"/>
    <w:rsid w:val="00BE24A8"/>
    <w:rsid w:val="00BE3F8C"/>
    <w:rsid w:val="00BF758C"/>
    <w:rsid w:val="00BF78FA"/>
    <w:rsid w:val="00C11D8E"/>
    <w:rsid w:val="00C14BEE"/>
    <w:rsid w:val="00C15536"/>
    <w:rsid w:val="00C3096B"/>
    <w:rsid w:val="00C3637F"/>
    <w:rsid w:val="00C446A8"/>
    <w:rsid w:val="00C57944"/>
    <w:rsid w:val="00C67B57"/>
    <w:rsid w:val="00C71922"/>
    <w:rsid w:val="00CA5C03"/>
    <w:rsid w:val="00CB1CF7"/>
    <w:rsid w:val="00CB5F77"/>
    <w:rsid w:val="00CD0442"/>
    <w:rsid w:val="00CD4E0E"/>
    <w:rsid w:val="00CE0749"/>
    <w:rsid w:val="00CE078B"/>
    <w:rsid w:val="00D17648"/>
    <w:rsid w:val="00D257E4"/>
    <w:rsid w:val="00D315EF"/>
    <w:rsid w:val="00D36322"/>
    <w:rsid w:val="00D41C2E"/>
    <w:rsid w:val="00D47EC7"/>
    <w:rsid w:val="00D50DD5"/>
    <w:rsid w:val="00D54DE8"/>
    <w:rsid w:val="00D62495"/>
    <w:rsid w:val="00D7278B"/>
    <w:rsid w:val="00D77844"/>
    <w:rsid w:val="00D97CC0"/>
    <w:rsid w:val="00DA20A3"/>
    <w:rsid w:val="00DB4FA1"/>
    <w:rsid w:val="00DD4208"/>
    <w:rsid w:val="00E05022"/>
    <w:rsid w:val="00E06251"/>
    <w:rsid w:val="00E13220"/>
    <w:rsid w:val="00E138F3"/>
    <w:rsid w:val="00E144AF"/>
    <w:rsid w:val="00E20B81"/>
    <w:rsid w:val="00E2198C"/>
    <w:rsid w:val="00E23C80"/>
    <w:rsid w:val="00E37FD7"/>
    <w:rsid w:val="00E4178C"/>
    <w:rsid w:val="00E42585"/>
    <w:rsid w:val="00E4561C"/>
    <w:rsid w:val="00E47057"/>
    <w:rsid w:val="00E51B4B"/>
    <w:rsid w:val="00EF45D8"/>
    <w:rsid w:val="00F01D2E"/>
    <w:rsid w:val="00F07152"/>
    <w:rsid w:val="00F11CDC"/>
    <w:rsid w:val="00F13E17"/>
    <w:rsid w:val="00F14076"/>
    <w:rsid w:val="00F42100"/>
    <w:rsid w:val="00F56D07"/>
    <w:rsid w:val="00F612ED"/>
    <w:rsid w:val="00F9321D"/>
    <w:rsid w:val="00FC65F8"/>
    <w:rsid w:val="00FE2455"/>
    <w:rsid w:val="00FE4D72"/>
    <w:rsid w:val="00FF15DC"/>
    <w:rsid w:val="00FF4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1DAD99"/>
  <w15:docId w15:val="{8FE4ADC1-381B-4695-AA73-CFB6C0FF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4D1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44D1A"/>
    <w:pPr>
      <w:keepNext/>
      <w:spacing w:after="240"/>
      <w:jc w:val="center"/>
      <w:outlineLvl w:val="0"/>
    </w:pPr>
    <w:rPr>
      <w:rFonts w:ascii="Arial" w:hAnsi="Arial"/>
      <w:b/>
      <w:caps/>
      <w:sz w:val="32"/>
      <w:szCs w:val="32"/>
      <w:lang w:eastAsia="en-US"/>
    </w:rPr>
  </w:style>
  <w:style w:type="paragraph" w:styleId="Heading2">
    <w:name w:val="heading 2"/>
    <w:basedOn w:val="Normal"/>
    <w:next w:val="Normal"/>
    <w:link w:val="Heading2Char"/>
    <w:qFormat/>
    <w:rsid w:val="00644D1A"/>
    <w:pPr>
      <w:spacing w:before="120" w:after="120"/>
      <w:outlineLvl w:val="1"/>
    </w:pPr>
    <w:rPr>
      <w:rFonts w:ascii="Arial" w:hAnsi="Arial"/>
      <w:b/>
      <w: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D1A"/>
    <w:pPr>
      <w:ind w:left="720"/>
      <w:contextualSpacing/>
    </w:pPr>
  </w:style>
  <w:style w:type="character" w:customStyle="1" w:styleId="Heading1Char">
    <w:name w:val="Heading 1 Char"/>
    <w:basedOn w:val="DefaultParagraphFont"/>
    <w:link w:val="Heading1"/>
    <w:rsid w:val="00644D1A"/>
    <w:rPr>
      <w:rFonts w:ascii="Arial" w:eastAsia="Times New Roman" w:hAnsi="Arial" w:cs="Times New Roman"/>
      <w:b/>
      <w:caps/>
      <w:sz w:val="32"/>
      <w:szCs w:val="32"/>
    </w:rPr>
  </w:style>
  <w:style w:type="character" w:customStyle="1" w:styleId="Heading2Char">
    <w:name w:val="Heading 2 Char"/>
    <w:basedOn w:val="DefaultParagraphFont"/>
    <w:link w:val="Heading2"/>
    <w:rsid w:val="00644D1A"/>
    <w:rPr>
      <w:rFonts w:ascii="Arial" w:eastAsia="Times New Roman" w:hAnsi="Arial" w:cs="Times New Roman"/>
      <w:b/>
      <w:caps/>
      <w:sz w:val="24"/>
      <w:szCs w:val="24"/>
    </w:rPr>
  </w:style>
  <w:style w:type="paragraph" w:customStyle="1" w:styleId="BodyTextTable">
    <w:name w:val="Body Text Table"/>
    <w:basedOn w:val="Normal"/>
    <w:rsid w:val="00644D1A"/>
    <w:pPr>
      <w:spacing w:before="120" w:after="120"/>
    </w:pPr>
    <w:rPr>
      <w:rFonts w:ascii="Arial" w:hAnsi="Arial"/>
      <w:lang w:eastAsia="en-US"/>
    </w:rPr>
  </w:style>
  <w:style w:type="paragraph" w:styleId="BalloonText">
    <w:name w:val="Balloon Text"/>
    <w:basedOn w:val="Normal"/>
    <w:link w:val="BalloonTextChar"/>
    <w:uiPriority w:val="99"/>
    <w:semiHidden/>
    <w:unhideWhenUsed/>
    <w:rsid w:val="003B2510"/>
    <w:rPr>
      <w:rFonts w:ascii="Tahoma" w:hAnsi="Tahoma" w:cs="Tahoma"/>
      <w:sz w:val="16"/>
      <w:szCs w:val="16"/>
    </w:rPr>
  </w:style>
  <w:style w:type="character" w:customStyle="1" w:styleId="BalloonTextChar">
    <w:name w:val="Balloon Text Char"/>
    <w:basedOn w:val="DefaultParagraphFont"/>
    <w:link w:val="BalloonText"/>
    <w:uiPriority w:val="99"/>
    <w:semiHidden/>
    <w:rsid w:val="003B2510"/>
    <w:rPr>
      <w:rFonts w:ascii="Tahoma" w:eastAsia="Times New Roman" w:hAnsi="Tahoma" w:cs="Tahoma"/>
      <w:sz w:val="16"/>
      <w:szCs w:val="16"/>
      <w:lang w:eastAsia="en-GB"/>
    </w:rPr>
  </w:style>
  <w:style w:type="paragraph" w:styleId="Header">
    <w:name w:val="header"/>
    <w:basedOn w:val="Normal"/>
    <w:link w:val="HeaderChar"/>
    <w:uiPriority w:val="99"/>
    <w:unhideWhenUsed/>
    <w:rsid w:val="00807DDC"/>
    <w:pPr>
      <w:tabs>
        <w:tab w:val="center" w:pos="4513"/>
        <w:tab w:val="right" w:pos="9026"/>
      </w:tabs>
    </w:pPr>
  </w:style>
  <w:style w:type="character" w:customStyle="1" w:styleId="HeaderChar">
    <w:name w:val="Header Char"/>
    <w:basedOn w:val="DefaultParagraphFont"/>
    <w:link w:val="Header"/>
    <w:uiPriority w:val="99"/>
    <w:rsid w:val="00807DD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07DDC"/>
    <w:pPr>
      <w:tabs>
        <w:tab w:val="center" w:pos="4513"/>
        <w:tab w:val="right" w:pos="9026"/>
      </w:tabs>
    </w:pPr>
  </w:style>
  <w:style w:type="character" w:customStyle="1" w:styleId="FooterChar">
    <w:name w:val="Footer Char"/>
    <w:basedOn w:val="DefaultParagraphFont"/>
    <w:link w:val="Footer"/>
    <w:uiPriority w:val="99"/>
    <w:rsid w:val="00807DDC"/>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C6449"/>
    <w:rPr>
      <w:color w:val="0000FF" w:themeColor="hyperlink"/>
      <w:u w:val="single"/>
    </w:rPr>
  </w:style>
  <w:style w:type="table" w:styleId="TableGrid">
    <w:name w:val="Table Grid"/>
    <w:basedOn w:val="TableNormal"/>
    <w:uiPriority w:val="59"/>
    <w:rsid w:val="00336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7733"/>
    <w:rPr>
      <w:color w:val="800080" w:themeColor="followedHyperlink"/>
      <w:u w:val="single"/>
    </w:rPr>
  </w:style>
  <w:style w:type="character" w:styleId="CommentReference">
    <w:name w:val="annotation reference"/>
    <w:basedOn w:val="DefaultParagraphFont"/>
    <w:uiPriority w:val="99"/>
    <w:semiHidden/>
    <w:unhideWhenUsed/>
    <w:rsid w:val="00C57944"/>
    <w:rPr>
      <w:sz w:val="16"/>
      <w:szCs w:val="16"/>
    </w:rPr>
  </w:style>
  <w:style w:type="paragraph" w:styleId="CommentText">
    <w:name w:val="annotation text"/>
    <w:basedOn w:val="Normal"/>
    <w:link w:val="CommentTextChar"/>
    <w:uiPriority w:val="99"/>
    <w:semiHidden/>
    <w:unhideWhenUsed/>
    <w:rsid w:val="00C57944"/>
    <w:rPr>
      <w:sz w:val="20"/>
      <w:szCs w:val="20"/>
    </w:rPr>
  </w:style>
  <w:style w:type="character" w:customStyle="1" w:styleId="CommentTextChar">
    <w:name w:val="Comment Text Char"/>
    <w:basedOn w:val="DefaultParagraphFont"/>
    <w:link w:val="CommentText"/>
    <w:uiPriority w:val="99"/>
    <w:semiHidden/>
    <w:rsid w:val="00C57944"/>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57944"/>
    <w:rPr>
      <w:b/>
      <w:bCs/>
    </w:rPr>
  </w:style>
  <w:style w:type="character" w:customStyle="1" w:styleId="CommentSubjectChar">
    <w:name w:val="Comment Subject Char"/>
    <w:basedOn w:val="CommentTextChar"/>
    <w:link w:val="CommentSubject"/>
    <w:uiPriority w:val="99"/>
    <w:semiHidden/>
    <w:rsid w:val="00C57944"/>
    <w:rPr>
      <w:rFonts w:ascii="Times New Roman" w:eastAsia="Times New Roman" w:hAnsi="Times New Roman" w:cs="Times New Roman"/>
      <w:b/>
      <w:bCs/>
      <w:sz w:val="20"/>
      <w:szCs w:val="20"/>
      <w:lang w:eastAsia="en-GB"/>
    </w:rPr>
  </w:style>
  <w:style w:type="character" w:styleId="UnresolvedMention">
    <w:name w:val="Unresolved Mention"/>
    <w:basedOn w:val="DefaultParagraphFont"/>
    <w:uiPriority w:val="99"/>
    <w:semiHidden/>
    <w:unhideWhenUsed/>
    <w:rsid w:val="00221C9B"/>
    <w:rPr>
      <w:color w:val="605E5C"/>
      <w:shd w:val="clear" w:color="auto" w:fill="E1DFDD"/>
    </w:rPr>
  </w:style>
  <w:style w:type="paragraph" w:styleId="FootnoteText">
    <w:name w:val="footnote text"/>
    <w:basedOn w:val="Normal"/>
    <w:link w:val="FootnoteTextChar"/>
    <w:uiPriority w:val="99"/>
    <w:semiHidden/>
    <w:unhideWhenUsed/>
    <w:rsid w:val="00AA6619"/>
    <w:rPr>
      <w:sz w:val="20"/>
      <w:szCs w:val="20"/>
    </w:rPr>
  </w:style>
  <w:style w:type="character" w:customStyle="1" w:styleId="FootnoteTextChar">
    <w:name w:val="Footnote Text Char"/>
    <w:basedOn w:val="DefaultParagraphFont"/>
    <w:link w:val="FootnoteText"/>
    <w:uiPriority w:val="99"/>
    <w:semiHidden/>
    <w:rsid w:val="00AA6619"/>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AA66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499174">
      <w:bodyDiv w:val="1"/>
      <w:marLeft w:val="0"/>
      <w:marRight w:val="0"/>
      <w:marTop w:val="0"/>
      <w:marBottom w:val="0"/>
      <w:divBdr>
        <w:top w:val="none" w:sz="0" w:space="0" w:color="auto"/>
        <w:left w:val="none" w:sz="0" w:space="0" w:color="auto"/>
        <w:bottom w:val="none" w:sz="0" w:space="0" w:color="auto"/>
        <w:right w:val="none" w:sz="0" w:space="0" w:color="auto"/>
      </w:divBdr>
    </w:div>
    <w:div w:id="493372648">
      <w:bodyDiv w:val="1"/>
      <w:marLeft w:val="0"/>
      <w:marRight w:val="0"/>
      <w:marTop w:val="0"/>
      <w:marBottom w:val="0"/>
      <w:divBdr>
        <w:top w:val="none" w:sz="0" w:space="0" w:color="auto"/>
        <w:left w:val="none" w:sz="0" w:space="0" w:color="auto"/>
        <w:bottom w:val="none" w:sz="0" w:space="0" w:color="auto"/>
        <w:right w:val="none" w:sz="0" w:space="0" w:color="auto"/>
      </w:divBdr>
    </w:div>
    <w:div w:id="848984153">
      <w:bodyDiv w:val="1"/>
      <w:marLeft w:val="0"/>
      <w:marRight w:val="0"/>
      <w:marTop w:val="0"/>
      <w:marBottom w:val="0"/>
      <w:divBdr>
        <w:top w:val="none" w:sz="0" w:space="0" w:color="auto"/>
        <w:left w:val="none" w:sz="0" w:space="0" w:color="auto"/>
        <w:bottom w:val="none" w:sz="0" w:space="0" w:color="auto"/>
        <w:right w:val="none" w:sz="0" w:space="0" w:color="auto"/>
      </w:divBdr>
    </w:div>
    <w:div w:id="997879174">
      <w:bodyDiv w:val="1"/>
      <w:marLeft w:val="0"/>
      <w:marRight w:val="0"/>
      <w:marTop w:val="0"/>
      <w:marBottom w:val="0"/>
      <w:divBdr>
        <w:top w:val="none" w:sz="0" w:space="0" w:color="auto"/>
        <w:left w:val="none" w:sz="0" w:space="0" w:color="auto"/>
        <w:bottom w:val="none" w:sz="0" w:space="0" w:color="auto"/>
        <w:right w:val="none" w:sz="0" w:space="0" w:color="auto"/>
      </w:divBdr>
    </w:div>
    <w:div w:id="1213889466">
      <w:bodyDiv w:val="1"/>
      <w:marLeft w:val="0"/>
      <w:marRight w:val="0"/>
      <w:marTop w:val="0"/>
      <w:marBottom w:val="0"/>
      <w:divBdr>
        <w:top w:val="none" w:sz="0" w:space="0" w:color="auto"/>
        <w:left w:val="none" w:sz="0" w:space="0" w:color="auto"/>
        <w:bottom w:val="none" w:sz="0" w:space="0" w:color="auto"/>
        <w:right w:val="none" w:sz="0" w:space="0" w:color="auto"/>
      </w:divBdr>
    </w:div>
    <w:div w:id="1430812951">
      <w:bodyDiv w:val="1"/>
      <w:marLeft w:val="0"/>
      <w:marRight w:val="0"/>
      <w:marTop w:val="0"/>
      <w:marBottom w:val="0"/>
      <w:divBdr>
        <w:top w:val="none" w:sz="0" w:space="0" w:color="auto"/>
        <w:left w:val="none" w:sz="0" w:space="0" w:color="auto"/>
        <w:bottom w:val="none" w:sz="0" w:space="0" w:color="auto"/>
        <w:right w:val="none" w:sz="0" w:space="0" w:color="auto"/>
      </w:divBdr>
    </w:div>
    <w:div w:id="1732657511">
      <w:bodyDiv w:val="1"/>
      <w:marLeft w:val="0"/>
      <w:marRight w:val="0"/>
      <w:marTop w:val="0"/>
      <w:marBottom w:val="0"/>
      <w:divBdr>
        <w:top w:val="none" w:sz="0" w:space="0" w:color="auto"/>
        <w:left w:val="none" w:sz="0" w:space="0" w:color="auto"/>
        <w:bottom w:val="none" w:sz="0" w:space="0" w:color="auto"/>
        <w:right w:val="none" w:sz="0" w:space="0" w:color="auto"/>
      </w:divBdr>
      <w:divsChild>
        <w:div w:id="1803578985">
          <w:marLeft w:val="0"/>
          <w:marRight w:val="0"/>
          <w:marTop w:val="0"/>
          <w:marBottom w:val="0"/>
          <w:divBdr>
            <w:top w:val="none" w:sz="0" w:space="0" w:color="auto"/>
            <w:left w:val="none" w:sz="0" w:space="0" w:color="auto"/>
            <w:bottom w:val="none" w:sz="0" w:space="0" w:color="auto"/>
            <w:right w:val="none" w:sz="0" w:space="0" w:color="auto"/>
          </w:divBdr>
          <w:divsChild>
            <w:div w:id="1577277839">
              <w:marLeft w:val="0"/>
              <w:marRight w:val="0"/>
              <w:marTop w:val="0"/>
              <w:marBottom w:val="0"/>
              <w:divBdr>
                <w:top w:val="none" w:sz="0" w:space="0" w:color="auto"/>
                <w:left w:val="none" w:sz="0" w:space="0" w:color="auto"/>
                <w:bottom w:val="none" w:sz="0" w:space="0" w:color="auto"/>
                <w:right w:val="single" w:sz="6" w:space="8" w:color="FFFFFF"/>
              </w:divBdr>
              <w:divsChild>
                <w:div w:id="2038194756">
                  <w:marLeft w:val="0"/>
                  <w:marRight w:val="0"/>
                  <w:marTop w:val="0"/>
                  <w:marBottom w:val="0"/>
                  <w:divBdr>
                    <w:top w:val="none" w:sz="0" w:space="0" w:color="auto"/>
                    <w:left w:val="none" w:sz="0" w:space="0" w:color="auto"/>
                    <w:bottom w:val="none" w:sz="0" w:space="0" w:color="auto"/>
                    <w:right w:val="none" w:sz="0" w:space="0" w:color="auto"/>
                  </w:divBdr>
                  <w:divsChild>
                    <w:div w:id="134027925">
                      <w:marLeft w:val="0"/>
                      <w:marRight w:val="0"/>
                      <w:marTop w:val="0"/>
                      <w:marBottom w:val="0"/>
                      <w:divBdr>
                        <w:top w:val="none" w:sz="0" w:space="0" w:color="auto"/>
                        <w:left w:val="none" w:sz="0" w:space="0" w:color="auto"/>
                        <w:bottom w:val="none" w:sz="0" w:space="0" w:color="auto"/>
                        <w:right w:val="none" w:sz="0" w:space="0" w:color="auto"/>
                      </w:divBdr>
                      <w:divsChild>
                        <w:div w:id="1340352697">
                          <w:marLeft w:val="0"/>
                          <w:marRight w:val="0"/>
                          <w:marTop w:val="0"/>
                          <w:marBottom w:val="0"/>
                          <w:divBdr>
                            <w:top w:val="none" w:sz="0" w:space="0" w:color="auto"/>
                            <w:left w:val="none" w:sz="0" w:space="0" w:color="auto"/>
                            <w:bottom w:val="none" w:sz="0" w:space="0" w:color="auto"/>
                            <w:right w:val="none" w:sz="0" w:space="0" w:color="auto"/>
                          </w:divBdr>
                          <w:divsChild>
                            <w:div w:id="263615525">
                              <w:marLeft w:val="0"/>
                              <w:marRight w:val="0"/>
                              <w:marTop w:val="0"/>
                              <w:marBottom w:val="0"/>
                              <w:divBdr>
                                <w:top w:val="none" w:sz="0" w:space="0" w:color="auto"/>
                                <w:left w:val="none" w:sz="0" w:space="0" w:color="auto"/>
                                <w:bottom w:val="none" w:sz="0" w:space="0" w:color="auto"/>
                                <w:right w:val="none" w:sz="0" w:space="0" w:color="auto"/>
                              </w:divBdr>
                              <w:divsChild>
                                <w:div w:id="1766925528">
                                  <w:marLeft w:val="0"/>
                                  <w:marRight w:val="0"/>
                                  <w:marTop w:val="0"/>
                                  <w:marBottom w:val="0"/>
                                  <w:divBdr>
                                    <w:top w:val="none" w:sz="0" w:space="0" w:color="auto"/>
                                    <w:left w:val="none" w:sz="0" w:space="0" w:color="auto"/>
                                    <w:bottom w:val="none" w:sz="0" w:space="0" w:color="auto"/>
                                    <w:right w:val="none" w:sz="0" w:space="0" w:color="auto"/>
                                  </w:divBdr>
                                  <w:divsChild>
                                    <w:div w:id="1967004646">
                                      <w:marLeft w:val="0"/>
                                      <w:marRight w:val="0"/>
                                      <w:marTop w:val="0"/>
                                      <w:marBottom w:val="0"/>
                                      <w:divBdr>
                                        <w:top w:val="none" w:sz="0" w:space="0" w:color="auto"/>
                                        <w:left w:val="none" w:sz="0" w:space="0" w:color="auto"/>
                                        <w:bottom w:val="none" w:sz="0" w:space="0" w:color="auto"/>
                                        <w:right w:val="none" w:sz="0" w:space="0" w:color="auto"/>
                                      </w:divBdr>
                                      <w:divsChild>
                                        <w:div w:id="1579250966">
                                          <w:marLeft w:val="0"/>
                                          <w:marRight w:val="0"/>
                                          <w:marTop w:val="0"/>
                                          <w:marBottom w:val="0"/>
                                          <w:divBdr>
                                            <w:top w:val="none" w:sz="0" w:space="0" w:color="auto"/>
                                            <w:left w:val="none" w:sz="0" w:space="0" w:color="auto"/>
                                            <w:bottom w:val="none" w:sz="0" w:space="0" w:color="auto"/>
                                            <w:right w:val="none" w:sz="0" w:space="0" w:color="auto"/>
                                          </w:divBdr>
                                          <w:divsChild>
                                            <w:div w:id="1394037555">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9656350">
      <w:bodyDiv w:val="1"/>
      <w:marLeft w:val="0"/>
      <w:marRight w:val="0"/>
      <w:marTop w:val="0"/>
      <w:marBottom w:val="0"/>
      <w:divBdr>
        <w:top w:val="none" w:sz="0" w:space="0" w:color="auto"/>
        <w:left w:val="none" w:sz="0" w:space="0" w:color="auto"/>
        <w:bottom w:val="none" w:sz="0" w:space="0" w:color="auto"/>
        <w:right w:val="none" w:sz="0" w:space="0" w:color="auto"/>
      </w:divBdr>
    </w:div>
    <w:div w:id="213983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61859/Clarifying_status_of_DSG_consultation_respons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gov.uk/government/publications/dedicated-schools-grant-dsg-2020-to-2021/dsg-conditions-of-grant-2020-to-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5DAB7-2B2E-4891-AB3E-386B6EC8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654872DA</Template>
  <TotalTime>441</TotalTime>
  <Pages>5</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Pleace</dc:creator>
  <cp:lastModifiedBy>Stone, Karen - ST F</cp:lastModifiedBy>
  <cp:revision>8</cp:revision>
  <cp:lastPrinted>2019-11-22T16:50:00Z</cp:lastPrinted>
  <dcterms:created xsi:type="dcterms:W3CDTF">2020-07-10T06:01:00Z</dcterms:created>
  <dcterms:modified xsi:type="dcterms:W3CDTF">2020-07-17T13:45:00Z</dcterms:modified>
</cp:coreProperties>
</file>