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C95F" w14:textId="77777777" w:rsidR="00510801" w:rsidRDefault="00065293" w:rsidP="001038F0">
      <w:pPr>
        <w:spacing w:after="0" w:line="274" w:lineRule="exact"/>
        <w:ind w:left="715" w:right="73" w:hanging="615"/>
        <w:rPr>
          <w:rFonts w:eastAsia="Times New Roman" w:cs="Arial"/>
          <w:sz w:val="24"/>
          <w:szCs w:val="20"/>
          <w:lang w:eastAsia="en-GB"/>
        </w:rPr>
      </w:pPr>
      <w:r w:rsidRPr="00065293">
        <w:rPr>
          <w:rFonts w:eastAsia="Times New Roman" w:cs="Arial"/>
          <w:sz w:val="24"/>
          <w:szCs w:val="20"/>
          <w:lang w:eastAsia="en-GB"/>
        </w:rPr>
        <w:t>1.</w:t>
      </w:r>
      <w:r w:rsidRPr="00065293">
        <w:rPr>
          <w:rFonts w:eastAsia="Times New Roman" w:cs="Arial"/>
          <w:sz w:val="24"/>
          <w:szCs w:val="20"/>
          <w:lang w:eastAsia="en-GB"/>
        </w:rPr>
        <w:tab/>
      </w:r>
      <w:r w:rsidR="00510801">
        <w:rPr>
          <w:rFonts w:cs="Arial"/>
          <w:spacing w:val="2"/>
          <w:sz w:val="24"/>
          <w:szCs w:val="24"/>
        </w:rPr>
        <w:t>T</w:t>
      </w:r>
      <w:r w:rsidR="00510801">
        <w:rPr>
          <w:rFonts w:cs="Arial"/>
          <w:spacing w:val="-1"/>
          <w:sz w:val="24"/>
          <w:szCs w:val="24"/>
        </w:rPr>
        <w:t>h</w:t>
      </w:r>
      <w:r w:rsidR="00510801">
        <w:rPr>
          <w:rFonts w:cs="Arial"/>
          <w:sz w:val="24"/>
          <w:szCs w:val="24"/>
        </w:rPr>
        <w:t>e</w:t>
      </w:r>
      <w:r w:rsidR="00510801">
        <w:rPr>
          <w:rFonts w:cs="Arial"/>
          <w:spacing w:val="1"/>
          <w:sz w:val="24"/>
          <w:szCs w:val="24"/>
        </w:rPr>
        <w:t xml:space="preserve"> </w:t>
      </w:r>
      <w:r w:rsidR="00510801">
        <w:rPr>
          <w:rFonts w:cs="Arial"/>
          <w:spacing w:val="-1"/>
          <w:sz w:val="24"/>
          <w:szCs w:val="24"/>
        </w:rPr>
        <w:t>h</w:t>
      </w:r>
      <w:r w:rsidR="00510801">
        <w:rPr>
          <w:rFonts w:cs="Arial"/>
          <w:spacing w:val="1"/>
          <w:sz w:val="24"/>
          <w:szCs w:val="24"/>
        </w:rPr>
        <w:t>ea</w:t>
      </w:r>
      <w:r w:rsidR="00510801">
        <w:rPr>
          <w:rFonts w:cs="Arial"/>
          <w:sz w:val="24"/>
          <w:szCs w:val="24"/>
        </w:rPr>
        <w:t>d</w:t>
      </w:r>
      <w:r w:rsidR="00510801">
        <w:rPr>
          <w:rFonts w:cs="Arial"/>
          <w:spacing w:val="-1"/>
          <w:sz w:val="24"/>
          <w:szCs w:val="24"/>
        </w:rPr>
        <w:t xml:space="preserve"> </w:t>
      </w:r>
      <w:r w:rsidR="00510801">
        <w:rPr>
          <w:rFonts w:cs="Arial"/>
          <w:spacing w:val="1"/>
          <w:sz w:val="24"/>
          <w:szCs w:val="24"/>
        </w:rPr>
        <w:t>t</w:t>
      </w:r>
      <w:r w:rsidR="00510801">
        <w:rPr>
          <w:rFonts w:cs="Arial"/>
          <w:spacing w:val="-1"/>
          <w:sz w:val="24"/>
          <w:szCs w:val="24"/>
        </w:rPr>
        <w:t>e</w:t>
      </w:r>
      <w:r w:rsidR="00510801">
        <w:rPr>
          <w:rFonts w:cs="Arial"/>
          <w:spacing w:val="1"/>
          <w:sz w:val="24"/>
          <w:szCs w:val="24"/>
        </w:rPr>
        <w:t>a</w:t>
      </w:r>
      <w:r w:rsidR="00510801">
        <w:rPr>
          <w:rFonts w:cs="Arial"/>
          <w:sz w:val="24"/>
          <w:szCs w:val="24"/>
        </w:rPr>
        <w:t>c</w:t>
      </w:r>
      <w:r w:rsidR="00510801">
        <w:rPr>
          <w:rFonts w:cs="Arial"/>
          <w:spacing w:val="1"/>
          <w:sz w:val="24"/>
          <w:szCs w:val="24"/>
        </w:rPr>
        <w:t>he</w:t>
      </w:r>
      <w:r w:rsidR="00510801">
        <w:rPr>
          <w:rFonts w:cs="Arial"/>
          <w:sz w:val="24"/>
          <w:szCs w:val="24"/>
        </w:rPr>
        <w:t>r</w:t>
      </w:r>
      <w:r w:rsidR="00510801">
        <w:rPr>
          <w:rFonts w:cs="Arial"/>
          <w:spacing w:val="-3"/>
          <w:sz w:val="24"/>
          <w:szCs w:val="24"/>
        </w:rPr>
        <w:t xml:space="preserve"> </w:t>
      </w:r>
      <w:r w:rsidR="00510801">
        <w:rPr>
          <w:rFonts w:cs="Arial"/>
          <w:spacing w:val="1"/>
          <w:sz w:val="24"/>
          <w:szCs w:val="24"/>
        </w:rPr>
        <w:t>an</w:t>
      </w:r>
      <w:r w:rsidR="00510801">
        <w:rPr>
          <w:rFonts w:cs="Arial"/>
          <w:sz w:val="24"/>
          <w:szCs w:val="24"/>
        </w:rPr>
        <w:t>d</w:t>
      </w:r>
      <w:r w:rsidR="00510801">
        <w:rPr>
          <w:rFonts w:cs="Arial"/>
          <w:spacing w:val="-3"/>
          <w:sz w:val="24"/>
          <w:szCs w:val="24"/>
        </w:rPr>
        <w:t xml:space="preserve"> </w:t>
      </w:r>
      <w:r w:rsidR="00510801">
        <w:rPr>
          <w:rFonts w:cs="Arial"/>
          <w:spacing w:val="-1"/>
          <w:sz w:val="24"/>
          <w:szCs w:val="24"/>
        </w:rPr>
        <w:t xml:space="preserve">governing body </w:t>
      </w:r>
      <w:r w:rsidR="00510801">
        <w:rPr>
          <w:rFonts w:cs="Arial"/>
          <w:sz w:val="24"/>
          <w:szCs w:val="24"/>
        </w:rPr>
        <w:t>are</w:t>
      </w:r>
      <w:r w:rsidR="00510801">
        <w:rPr>
          <w:rFonts w:cs="Arial"/>
          <w:spacing w:val="1"/>
          <w:sz w:val="24"/>
          <w:szCs w:val="24"/>
        </w:rPr>
        <w:t xml:space="preserve"> responsible for e</w:t>
      </w:r>
      <w:r w:rsidR="00510801">
        <w:rPr>
          <w:rFonts w:cs="Arial"/>
          <w:sz w:val="24"/>
          <w:szCs w:val="24"/>
        </w:rPr>
        <w:t>s</w:t>
      </w:r>
      <w:r w:rsidR="00510801">
        <w:rPr>
          <w:rFonts w:cs="Arial"/>
          <w:spacing w:val="-2"/>
          <w:sz w:val="24"/>
          <w:szCs w:val="24"/>
        </w:rPr>
        <w:t>t</w:t>
      </w:r>
      <w:r w:rsidR="00510801">
        <w:rPr>
          <w:rFonts w:cs="Arial"/>
          <w:spacing w:val="1"/>
          <w:sz w:val="24"/>
          <w:szCs w:val="24"/>
        </w:rPr>
        <w:t>ab</w:t>
      </w:r>
      <w:r w:rsidR="00510801">
        <w:rPr>
          <w:rFonts w:cs="Arial"/>
          <w:sz w:val="24"/>
          <w:szCs w:val="24"/>
        </w:rPr>
        <w:t>l</w:t>
      </w:r>
      <w:r w:rsidR="00510801">
        <w:rPr>
          <w:rFonts w:cs="Arial"/>
          <w:spacing w:val="-1"/>
          <w:sz w:val="24"/>
          <w:szCs w:val="24"/>
        </w:rPr>
        <w:t>i</w:t>
      </w:r>
      <w:r w:rsidR="00510801">
        <w:rPr>
          <w:rFonts w:cs="Arial"/>
          <w:sz w:val="24"/>
          <w:szCs w:val="24"/>
        </w:rPr>
        <w:t>s</w:t>
      </w:r>
      <w:r w:rsidR="00510801">
        <w:rPr>
          <w:rFonts w:cs="Arial"/>
          <w:spacing w:val="1"/>
          <w:sz w:val="24"/>
          <w:szCs w:val="24"/>
        </w:rPr>
        <w:t>h</w:t>
      </w:r>
      <w:r w:rsidR="00510801">
        <w:rPr>
          <w:rFonts w:cs="Arial"/>
          <w:sz w:val="24"/>
          <w:szCs w:val="24"/>
        </w:rPr>
        <w:t>ing</w:t>
      </w:r>
      <w:r w:rsidR="00510801">
        <w:rPr>
          <w:rFonts w:cs="Arial"/>
          <w:spacing w:val="-1"/>
          <w:sz w:val="24"/>
          <w:szCs w:val="24"/>
        </w:rPr>
        <w:t xml:space="preserve"> a</w:t>
      </w:r>
      <w:r w:rsidR="00510801">
        <w:rPr>
          <w:rFonts w:cs="Arial"/>
          <w:spacing w:val="1"/>
          <w:sz w:val="24"/>
          <w:szCs w:val="24"/>
        </w:rPr>
        <w:t>n</w:t>
      </w:r>
      <w:r w:rsidR="00510801">
        <w:rPr>
          <w:rFonts w:cs="Arial"/>
          <w:sz w:val="24"/>
          <w:szCs w:val="24"/>
        </w:rPr>
        <w:t>d</w:t>
      </w:r>
      <w:r w:rsidR="00510801">
        <w:rPr>
          <w:rFonts w:cs="Arial"/>
          <w:spacing w:val="1"/>
          <w:sz w:val="24"/>
          <w:szCs w:val="24"/>
        </w:rPr>
        <w:t xml:space="preserve"> </w:t>
      </w:r>
      <w:r w:rsidR="00510801">
        <w:rPr>
          <w:rFonts w:cs="Arial"/>
          <w:spacing w:val="-2"/>
          <w:sz w:val="24"/>
          <w:szCs w:val="24"/>
        </w:rPr>
        <w:t>i</w:t>
      </w:r>
      <w:r w:rsidR="00510801">
        <w:rPr>
          <w:rFonts w:cs="Arial"/>
          <w:spacing w:val="1"/>
          <w:sz w:val="24"/>
          <w:szCs w:val="24"/>
        </w:rPr>
        <w:t>mp</w:t>
      </w:r>
      <w:r w:rsidR="00510801">
        <w:rPr>
          <w:rFonts w:cs="Arial"/>
          <w:sz w:val="24"/>
          <w:szCs w:val="24"/>
        </w:rPr>
        <w:t>l</w:t>
      </w:r>
      <w:r w:rsidR="00510801">
        <w:rPr>
          <w:rFonts w:cs="Arial"/>
          <w:spacing w:val="-2"/>
          <w:sz w:val="24"/>
          <w:szCs w:val="24"/>
        </w:rPr>
        <w:t>e</w:t>
      </w:r>
      <w:r w:rsidR="00510801">
        <w:rPr>
          <w:rFonts w:cs="Arial"/>
          <w:spacing w:val="1"/>
          <w:sz w:val="24"/>
          <w:szCs w:val="24"/>
        </w:rPr>
        <w:t>m</w:t>
      </w:r>
      <w:r w:rsidR="00510801">
        <w:rPr>
          <w:rFonts w:cs="Arial"/>
          <w:spacing w:val="-1"/>
          <w:sz w:val="24"/>
          <w:szCs w:val="24"/>
        </w:rPr>
        <w:t>e</w:t>
      </w:r>
      <w:r w:rsidR="00510801">
        <w:rPr>
          <w:rFonts w:cs="Arial"/>
          <w:spacing w:val="1"/>
          <w:sz w:val="24"/>
          <w:szCs w:val="24"/>
        </w:rPr>
        <w:t>n</w:t>
      </w:r>
      <w:r w:rsidR="00510801">
        <w:rPr>
          <w:rFonts w:cs="Arial"/>
          <w:sz w:val="24"/>
          <w:szCs w:val="24"/>
        </w:rPr>
        <w:t>ti</w:t>
      </w:r>
      <w:r w:rsidR="00510801">
        <w:rPr>
          <w:rFonts w:cs="Arial"/>
          <w:spacing w:val="1"/>
          <w:sz w:val="24"/>
          <w:szCs w:val="24"/>
        </w:rPr>
        <w:t>n</w:t>
      </w:r>
      <w:r w:rsidR="00510801">
        <w:rPr>
          <w:rFonts w:cs="Arial"/>
          <w:sz w:val="24"/>
          <w:szCs w:val="24"/>
        </w:rPr>
        <w:t>g</w:t>
      </w:r>
      <w:r w:rsidR="00510801">
        <w:rPr>
          <w:rFonts w:cs="Arial"/>
          <w:spacing w:val="-1"/>
          <w:sz w:val="24"/>
          <w:szCs w:val="24"/>
        </w:rPr>
        <w:t xml:space="preserve"> </w:t>
      </w:r>
      <w:r w:rsidR="00510801">
        <w:rPr>
          <w:rFonts w:cs="Arial"/>
          <w:spacing w:val="1"/>
          <w:sz w:val="24"/>
          <w:szCs w:val="24"/>
        </w:rPr>
        <w:t>a</w:t>
      </w:r>
      <w:r w:rsidR="00510801">
        <w:rPr>
          <w:rFonts w:cs="Arial"/>
          <w:sz w:val="24"/>
          <w:szCs w:val="24"/>
        </w:rPr>
        <w:t>r</w:t>
      </w:r>
      <w:r w:rsidR="00510801">
        <w:rPr>
          <w:rFonts w:cs="Arial"/>
          <w:spacing w:val="-1"/>
          <w:sz w:val="24"/>
          <w:szCs w:val="24"/>
        </w:rPr>
        <w:t>r</w:t>
      </w:r>
      <w:r w:rsidR="00510801">
        <w:rPr>
          <w:rFonts w:cs="Arial"/>
          <w:spacing w:val="1"/>
          <w:sz w:val="24"/>
          <w:szCs w:val="24"/>
        </w:rPr>
        <w:t>an</w:t>
      </w:r>
      <w:r w:rsidR="00510801">
        <w:rPr>
          <w:rFonts w:cs="Arial"/>
          <w:spacing w:val="-1"/>
          <w:sz w:val="24"/>
          <w:szCs w:val="24"/>
        </w:rPr>
        <w:t>ge</w:t>
      </w:r>
      <w:r w:rsidR="00510801">
        <w:rPr>
          <w:rFonts w:cs="Arial"/>
          <w:spacing w:val="1"/>
          <w:sz w:val="24"/>
          <w:szCs w:val="24"/>
        </w:rPr>
        <w:t>me</w:t>
      </w:r>
      <w:r w:rsidR="00510801">
        <w:rPr>
          <w:rFonts w:cs="Arial"/>
          <w:spacing w:val="-1"/>
          <w:sz w:val="24"/>
          <w:szCs w:val="24"/>
        </w:rPr>
        <w:t>n</w:t>
      </w:r>
      <w:r w:rsidR="00510801">
        <w:rPr>
          <w:rFonts w:cs="Arial"/>
          <w:sz w:val="24"/>
          <w:szCs w:val="24"/>
        </w:rPr>
        <w:t>ts t</w:t>
      </w:r>
      <w:r w:rsidR="00510801">
        <w:rPr>
          <w:rFonts w:cs="Arial"/>
          <w:spacing w:val="1"/>
          <w:sz w:val="24"/>
          <w:szCs w:val="24"/>
        </w:rPr>
        <w:t>ha</w:t>
      </w:r>
      <w:r w:rsidR="00510801">
        <w:rPr>
          <w:rFonts w:cs="Arial"/>
          <w:sz w:val="24"/>
          <w:szCs w:val="24"/>
        </w:rPr>
        <w:t>t</w:t>
      </w:r>
      <w:r w:rsidR="00510801">
        <w:rPr>
          <w:rFonts w:cs="Arial"/>
          <w:spacing w:val="1"/>
          <w:sz w:val="24"/>
          <w:szCs w:val="24"/>
        </w:rPr>
        <w:t xml:space="preserve"> </w:t>
      </w:r>
      <w:r w:rsidR="00510801">
        <w:rPr>
          <w:rFonts w:cs="Arial"/>
          <w:spacing w:val="-3"/>
          <w:sz w:val="24"/>
          <w:szCs w:val="24"/>
        </w:rPr>
        <w:t>w</w:t>
      </w:r>
      <w:r w:rsidR="00510801">
        <w:rPr>
          <w:rFonts w:cs="Arial"/>
          <w:sz w:val="24"/>
          <w:szCs w:val="24"/>
        </w:rPr>
        <w:t>i</w:t>
      </w:r>
      <w:r w:rsidR="00510801">
        <w:rPr>
          <w:rFonts w:cs="Arial"/>
          <w:spacing w:val="-1"/>
          <w:sz w:val="24"/>
          <w:szCs w:val="24"/>
        </w:rPr>
        <w:t>l</w:t>
      </w:r>
      <w:r w:rsidR="00510801">
        <w:rPr>
          <w:rFonts w:cs="Arial"/>
          <w:sz w:val="24"/>
          <w:szCs w:val="24"/>
        </w:rPr>
        <w:t xml:space="preserve">l </w:t>
      </w:r>
      <w:r w:rsidR="00510801">
        <w:rPr>
          <w:rFonts w:cs="Arial"/>
          <w:spacing w:val="1"/>
          <w:sz w:val="24"/>
          <w:szCs w:val="24"/>
        </w:rPr>
        <w:t>en</w:t>
      </w:r>
      <w:r w:rsidR="00510801">
        <w:rPr>
          <w:rFonts w:cs="Arial"/>
          <w:sz w:val="24"/>
          <w:szCs w:val="24"/>
        </w:rPr>
        <w:t>s</w:t>
      </w:r>
      <w:r w:rsidR="00510801">
        <w:rPr>
          <w:rFonts w:cs="Arial"/>
          <w:spacing w:val="1"/>
          <w:sz w:val="24"/>
          <w:szCs w:val="24"/>
        </w:rPr>
        <w:t>u</w:t>
      </w:r>
      <w:r w:rsidR="00510801">
        <w:rPr>
          <w:rFonts w:cs="Arial"/>
          <w:sz w:val="24"/>
          <w:szCs w:val="24"/>
        </w:rPr>
        <w:t xml:space="preserve">re </w:t>
      </w:r>
      <w:r w:rsidR="00510801">
        <w:rPr>
          <w:rFonts w:cs="Arial"/>
          <w:spacing w:val="-2"/>
          <w:sz w:val="24"/>
          <w:szCs w:val="24"/>
        </w:rPr>
        <w:t>the safety o</w:t>
      </w:r>
      <w:r w:rsidR="00110097">
        <w:rPr>
          <w:rFonts w:cs="Arial"/>
          <w:spacing w:val="-2"/>
          <w:sz w:val="24"/>
          <w:szCs w:val="24"/>
        </w:rPr>
        <w:t>f all who may be affected by the school’s</w:t>
      </w:r>
      <w:r w:rsidR="00510801">
        <w:rPr>
          <w:rFonts w:cs="Arial"/>
          <w:spacing w:val="-2"/>
          <w:sz w:val="24"/>
          <w:szCs w:val="24"/>
        </w:rPr>
        <w:t xml:space="preserve"> undertakings.</w:t>
      </w:r>
      <w:r w:rsidR="00110097">
        <w:rPr>
          <w:rFonts w:cs="Arial"/>
          <w:spacing w:val="-2"/>
          <w:sz w:val="24"/>
          <w:szCs w:val="24"/>
        </w:rPr>
        <w:t xml:space="preserve"> </w:t>
      </w:r>
      <w:r w:rsidR="00510801">
        <w:rPr>
          <w:rFonts w:eastAsia="Times New Roman" w:cs="Arial"/>
          <w:sz w:val="24"/>
          <w:szCs w:val="20"/>
          <w:lang w:eastAsia="en-GB"/>
        </w:rPr>
        <w:t>The LEA believes that these arrangements should be reinforced by limiting unnecessary risks or accidents which may arise from firearms or other offensive weapons being brought on to or kept at school sites.</w:t>
      </w:r>
    </w:p>
    <w:p w14:paraId="38593401" w14:textId="77777777" w:rsidR="00510801" w:rsidRDefault="00510801"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512CD2D1" w14:textId="15833252" w:rsidR="00065293" w:rsidRPr="00065293" w:rsidRDefault="0062299B" w:rsidP="001038F0">
      <w:pPr>
        <w:overflowPunct w:val="0"/>
        <w:autoSpaceDE w:val="0"/>
        <w:autoSpaceDN w:val="0"/>
        <w:adjustRightInd w:val="0"/>
        <w:spacing w:before="120" w:after="0" w:line="240" w:lineRule="auto"/>
        <w:ind w:left="720"/>
        <w:textAlignment w:val="baseline"/>
        <w:rPr>
          <w:rFonts w:eastAsia="Times New Roman" w:cs="Arial"/>
          <w:sz w:val="24"/>
          <w:szCs w:val="20"/>
          <w:lang w:eastAsia="en-GB"/>
        </w:rPr>
      </w:pPr>
      <w:r>
        <w:rPr>
          <w:rFonts w:eastAsia="Times New Roman" w:cs="Arial"/>
          <w:b/>
          <w:sz w:val="24"/>
          <w:szCs w:val="20"/>
          <w:lang w:eastAsia="en-GB"/>
        </w:rPr>
        <w:t xml:space="preserve">Kent County </w:t>
      </w:r>
      <w:r w:rsidR="00065293" w:rsidRPr="00065293">
        <w:rPr>
          <w:rFonts w:eastAsia="Times New Roman" w:cs="Arial"/>
          <w:b/>
          <w:sz w:val="24"/>
          <w:szCs w:val="20"/>
          <w:lang w:eastAsia="en-GB"/>
        </w:rPr>
        <w:t>Council</w:t>
      </w:r>
      <w:r>
        <w:rPr>
          <w:rFonts w:eastAsia="Times New Roman" w:cs="Arial"/>
          <w:b/>
          <w:sz w:val="24"/>
          <w:szCs w:val="20"/>
          <w:lang w:eastAsia="en-GB"/>
        </w:rPr>
        <w:t xml:space="preserve"> (KCC)</w:t>
      </w:r>
      <w:r w:rsidR="00065293" w:rsidRPr="00065293">
        <w:rPr>
          <w:rFonts w:eastAsia="Times New Roman" w:cs="Arial"/>
          <w:b/>
          <w:sz w:val="24"/>
          <w:szCs w:val="20"/>
          <w:lang w:eastAsia="en-GB"/>
        </w:rPr>
        <w:t xml:space="preserve"> does not permit any firearms or other offensive weapons to be brought on to or kept on any school site or other educational establishment</w:t>
      </w:r>
      <w:r w:rsidR="00C614E5">
        <w:rPr>
          <w:rFonts w:eastAsia="Times New Roman" w:cs="Arial"/>
          <w:b/>
          <w:sz w:val="24"/>
          <w:szCs w:val="20"/>
          <w:lang w:eastAsia="en-GB"/>
        </w:rPr>
        <w:t>, as laid out in The Offensive Weapons Act 2019.</w:t>
      </w:r>
      <w:r w:rsidR="00065293" w:rsidRPr="00065293">
        <w:rPr>
          <w:rFonts w:eastAsia="Times New Roman" w:cs="Arial"/>
          <w:sz w:val="24"/>
          <w:szCs w:val="20"/>
          <w:lang w:eastAsia="en-GB"/>
        </w:rPr>
        <w:t xml:space="preserve"> </w:t>
      </w:r>
    </w:p>
    <w:p w14:paraId="3FA08E91" w14:textId="77777777" w:rsidR="00065293" w:rsidRPr="00065293" w:rsidRDefault="00065293" w:rsidP="001038F0">
      <w:pPr>
        <w:overflowPunct w:val="0"/>
        <w:autoSpaceDE w:val="0"/>
        <w:autoSpaceDN w:val="0"/>
        <w:adjustRightInd w:val="0"/>
        <w:spacing w:before="120" w:after="0" w:line="240" w:lineRule="auto"/>
        <w:ind w:left="720" w:hanging="720"/>
        <w:textAlignment w:val="baseline"/>
        <w:rPr>
          <w:rFonts w:eastAsia="Times New Roman" w:cs="Arial"/>
          <w:sz w:val="24"/>
          <w:szCs w:val="20"/>
          <w:lang w:eastAsia="en-GB"/>
        </w:rPr>
      </w:pPr>
    </w:p>
    <w:p w14:paraId="0D8A2712" w14:textId="21AF1FA3" w:rsidR="00065293" w:rsidRDefault="00A33E1F"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Pr>
          <w:rFonts w:eastAsia="Times New Roman" w:cs="Arial"/>
          <w:sz w:val="24"/>
          <w:szCs w:val="20"/>
          <w:lang w:eastAsia="en-GB"/>
        </w:rPr>
        <w:t>2</w:t>
      </w:r>
      <w:r w:rsidR="00065293" w:rsidRPr="00065293">
        <w:rPr>
          <w:rFonts w:eastAsia="Times New Roman" w:cs="Arial"/>
          <w:sz w:val="24"/>
          <w:szCs w:val="20"/>
          <w:lang w:eastAsia="en-GB"/>
        </w:rPr>
        <w:t>.</w:t>
      </w:r>
      <w:r w:rsidR="00065293" w:rsidRPr="00065293">
        <w:rPr>
          <w:rFonts w:eastAsia="Times New Roman" w:cs="Arial"/>
          <w:b/>
          <w:sz w:val="24"/>
          <w:szCs w:val="20"/>
          <w:lang w:eastAsia="en-GB"/>
        </w:rPr>
        <w:tab/>
      </w:r>
      <w:r w:rsidR="00065293" w:rsidRPr="00065293">
        <w:rPr>
          <w:rFonts w:eastAsia="Times New Roman" w:cs="Arial"/>
          <w:sz w:val="24"/>
          <w:szCs w:val="20"/>
          <w:lang w:eastAsia="en-GB"/>
        </w:rPr>
        <w:t>This policy fits well wi</w:t>
      </w:r>
      <w:r w:rsidR="00346364">
        <w:rPr>
          <w:rFonts w:eastAsia="Times New Roman" w:cs="Arial"/>
          <w:sz w:val="24"/>
          <w:szCs w:val="20"/>
          <w:lang w:eastAsia="en-GB"/>
        </w:rPr>
        <w:t xml:space="preserve">th existing legislation.  </w:t>
      </w:r>
      <w:r w:rsidR="00C614E5">
        <w:rPr>
          <w:rFonts w:eastAsia="Times New Roman" w:cs="Arial"/>
          <w:sz w:val="24"/>
          <w:szCs w:val="20"/>
          <w:lang w:eastAsia="en-GB"/>
        </w:rPr>
        <w:t>The Criminal Justice Act 1988, section 139a,</w:t>
      </w:r>
      <w:r w:rsidR="00065293" w:rsidRPr="00065293">
        <w:rPr>
          <w:rFonts w:eastAsia="Times New Roman" w:cs="Arial"/>
          <w:sz w:val="24"/>
          <w:szCs w:val="20"/>
          <w:lang w:eastAsia="en-GB"/>
        </w:rPr>
        <w:t xml:space="preserve"> </w:t>
      </w:r>
      <w:r w:rsidR="00694D0E">
        <w:rPr>
          <w:rFonts w:eastAsia="Times New Roman" w:cs="Arial"/>
          <w:sz w:val="24"/>
          <w:szCs w:val="20"/>
          <w:lang w:eastAsia="en-GB"/>
        </w:rPr>
        <w:t xml:space="preserve">states </w:t>
      </w:r>
      <w:r w:rsidR="00065293" w:rsidRPr="00065293">
        <w:rPr>
          <w:rFonts w:eastAsia="Times New Roman" w:cs="Arial"/>
          <w:sz w:val="24"/>
          <w:szCs w:val="20"/>
          <w:lang w:eastAsia="en-GB"/>
        </w:rPr>
        <w:t>a person who without proof of good reason or lawful authority has an article with blade or point, or an ‘offensive weapon’, on school premises is guilty of an offence.  It is a particular defence to prove that the article or weapon was needed for use at work, for educational purposes, for religious reasons or as part of any national costume. Imprisonment or a fine (or both) follow conviction.</w:t>
      </w:r>
    </w:p>
    <w:p w14:paraId="0809A194" w14:textId="77777777" w:rsidR="00D36B98" w:rsidRPr="00065293" w:rsidRDefault="00D36B98"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74885B8B" w14:textId="77777777" w:rsidR="00065293" w:rsidRDefault="00A33E1F"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Pr>
          <w:rFonts w:eastAsia="Times New Roman" w:cs="Arial"/>
          <w:sz w:val="24"/>
          <w:szCs w:val="20"/>
          <w:lang w:eastAsia="en-GB"/>
        </w:rPr>
        <w:t>3</w:t>
      </w:r>
      <w:r w:rsidR="00065293" w:rsidRPr="00065293">
        <w:rPr>
          <w:rFonts w:eastAsia="Times New Roman" w:cs="Arial"/>
          <w:sz w:val="24"/>
          <w:szCs w:val="20"/>
          <w:lang w:eastAsia="en-GB"/>
        </w:rPr>
        <w:t>.</w:t>
      </w:r>
      <w:r w:rsidR="00065293" w:rsidRPr="00065293">
        <w:rPr>
          <w:rFonts w:eastAsia="Times New Roman" w:cs="Arial"/>
          <w:sz w:val="24"/>
          <w:szCs w:val="20"/>
          <w:lang w:eastAsia="en-GB"/>
        </w:rPr>
        <w:tab/>
        <w:t xml:space="preserve">A </w:t>
      </w:r>
      <w:r w:rsidR="00346364">
        <w:rPr>
          <w:rFonts w:eastAsia="Times New Roman" w:cs="Arial"/>
          <w:sz w:val="24"/>
          <w:szCs w:val="20"/>
          <w:lang w:eastAsia="en-GB"/>
        </w:rPr>
        <w:t>Police Officer</w:t>
      </w:r>
      <w:r w:rsidR="00065293" w:rsidRPr="00065293">
        <w:rPr>
          <w:rFonts w:eastAsia="Times New Roman" w:cs="Arial"/>
          <w:sz w:val="24"/>
          <w:szCs w:val="20"/>
          <w:lang w:eastAsia="en-GB"/>
        </w:rPr>
        <w:t xml:space="preserve"> may enter and search school premises on reasonable grounds for believing that an offence has been or</w:t>
      </w:r>
      <w:r w:rsidR="00346364">
        <w:rPr>
          <w:rFonts w:eastAsia="Times New Roman" w:cs="Arial"/>
          <w:sz w:val="24"/>
          <w:szCs w:val="20"/>
          <w:lang w:eastAsia="en-GB"/>
        </w:rPr>
        <w:t xml:space="preserve"> is being committed.  If they do</w:t>
      </w:r>
      <w:r w:rsidR="004A607B">
        <w:rPr>
          <w:rFonts w:eastAsia="Times New Roman" w:cs="Arial"/>
          <w:sz w:val="24"/>
          <w:szCs w:val="20"/>
          <w:lang w:eastAsia="en-GB"/>
        </w:rPr>
        <w:t xml:space="preserve"> so and reasonably suspect</w:t>
      </w:r>
      <w:r w:rsidR="00065293" w:rsidRPr="00065293">
        <w:rPr>
          <w:rFonts w:eastAsia="Times New Roman" w:cs="Arial"/>
          <w:sz w:val="24"/>
          <w:szCs w:val="20"/>
          <w:lang w:eastAsia="en-GB"/>
        </w:rPr>
        <w:t xml:space="preserve"> that</w:t>
      </w:r>
      <w:r w:rsidR="00346364">
        <w:rPr>
          <w:rFonts w:eastAsia="Times New Roman" w:cs="Arial"/>
          <w:sz w:val="24"/>
          <w:szCs w:val="20"/>
          <w:lang w:eastAsia="en-GB"/>
        </w:rPr>
        <w:t xml:space="preserve"> they have</w:t>
      </w:r>
      <w:r w:rsidR="00065293" w:rsidRPr="00065293">
        <w:rPr>
          <w:rFonts w:eastAsia="Times New Roman" w:cs="Arial"/>
          <w:sz w:val="24"/>
          <w:szCs w:val="20"/>
          <w:lang w:eastAsia="en-GB"/>
        </w:rPr>
        <w:t xml:space="preserve"> discovered an article or weapon of the kind described </w:t>
      </w:r>
      <w:r w:rsidR="00346364">
        <w:rPr>
          <w:rFonts w:eastAsia="Times New Roman" w:cs="Arial"/>
          <w:sz w:val="24"/>
          <w:szCs w:val="20"/>
          <w:lang w:eastAsia="en-GB"/>
        </w:rPr>
        <w:t>t</w:t>
      </w:r>
      <w:r w:rsidR="00065293" w:rsidRPr="00065293">
        <w:rPr>
          <w:rFonts w:eastAsia="Times New Roman" w:cs="Arial"/>
          <w:sz w:val="24"/>
          <w:szCs w:val="20"/>
          <w:lang w:eastAsia="en-GB"/>
        </w:rPr>
        <w:t>he</w:t>
      </w:r>
      <w:r w:rsidR="00346364">
        <w:rPr>
          <w:rFonts w:eastAsia="Times New Roman" w:cs="Arial"/>
          <w:sz w:val="24"/>
          <w:szCs w:val="20"/>
          <w:lang w:eastAsia="en-GB"/>
        </w:rPr>
        <w:t>y</w:t>
      </w:r>
      <w:r w:rsidR="00065293" w:rsidRPr="00065293">
        <w:rPr>
          <w:rFonts w:eastAsia="Times New Roman" w:cs="Arial"/>
          <w:sz w:val="24"/>
          <w:szCs w:val="20"/>
          <w:lang w:eastAsia="en-GB"/>
        </w:rPr>
        <w:t xml:space="preserve"> may seize a</w:t>
      </w:r>
      <w:r w:rsidR="00346364">
        <w:rPr>
          <w:rFonts w:eastAsia="Times New Roman" w:cs="Arial"/>
          <w:sz w:val="24"/>
          <w:szCs w:val="20"/>
          <w:lang w:eastAsia="en-GB"/>
        </w:rPr>
        <w:t>nd retain it. They</w:t>
      </w:r>
      <w:r w:rsidR="00065293" w:rsidRPr="00065293">
        <w:rPr>
          <w:rFonts w:eastAsia="Times New Roman" w:cs="Arial"/>
          <w:sz w:val="24"/>
          <w:szCs w:val="20"/>
          <w:lang w:eastAsia="en-GB"/>
        </w:rPr>
        <w:t xml:space="preserve"> may use reasonable force, if necessary, to gain entry to the premises.</w:t>
      </w:r>
    </w:p>
    <w:p w14:paraId="2E2CC6DA" w14:textId="77777777" w:rsidR="00D36B98" w:rsidRPr="00065293" w:rsidRDefault="00D36B98"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06D56DA5" w14:textId="77777777" w:rsidR="00065293" w:rsidRPr="00065293" w:rsidRDefault="00065293" w:rsidP="001038F0">
      <w:pPr>
        <w:overflowPunct w:val="0"/>
        <w:autoSpaceDE w:val="0"/>
        <w:autoSpaceDN w:val="0"/>
        <w:adjustRightInd w:val="0"/>
        <w:spacing w:after="0" w:line="240" w:lineRule="auto"/>
        <w:ind w:left="720" w:hanging="720"/>
        <w:textAlignment w:val="baseline"/>
        <w:rPr>
          <w:rFonts w:eastAsia="Times New Roman" w:cs="Arial"/>
          <w:b/>
          <w:sz w:val="24"/>
          <w:szCs w:val="20"/>
          <w:lang w:eastAsia="en-GB"/>
        </w:rPr>
      </w:pPr>
      <w:r w:rsidRPr="00065293">
        <w:rPr>
          <w:rFonts w:eastAsia="Times New Roman" w:cs="Arial"/>
          <w:b/>
          <w:sz w:val="24"/>
          <w:szCs w:val="20"/>
          <w:lang w:eastAsia="en-GB"/>
        </w:rPr>
        <w:t>Definitions</w:t>
      </w:r>
    </w:p>
    <w:p w14:paraId="44DBFB41" w14:textId="77777777" w:rsidR="00065293" w:rsidRPr="00065293" w:rsidRDefault="00A33E1F"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Pr>
          <w:rFonts w:eastAsia="Times New Roman" w:cs="Arial"/>
          <w:sz w:val="24"/>
          <w:szCs w:val="20"/>
          <w:lang w:eastAsia="en-GB"/>
        </w:rPr>
        <w:t>4</w:t>
      </w:r>
      <w:r w:rsidR="00065293" w:rsidRPr="00065293">
        <w:rPr>
          <w:rFonts w:eastAsia="Times New Roman" w:cs="Arial"/>
          <w:sz w:val="24"/>
          <w:szCs w:val="20"/>
          <w:lang w:eastAsia="en-GB"/>
        </w:rPr>
        <w:t>.</w:t>
      </w:r>
      <w:r w:rsidR="00065293" w:rsidRPr="00065293">
        <w:rPr>
          <w:rFonts w:eastAsia="Times New Roman" w:cs="Arial"/>
          <w:sz w:val="24"/>
          <w:szCs w:val="20"/>
          <w:lang w:eastAsia="en-GB"/>
        </w:rPr>
        <w:tab/>
      </w:r>
      <w:r w:rsidR="00346364">
        <w:rPr>
          <w:rFonts w:eastAsia="Times New Roman" w:cs="Arial"/>
          <w:sz w:val="24"/>
          <w:szCs w:val="20"/>
          <w:lang w:eastAsia="en-GB"/>
        </w:rPr>
        <w:t xml:space="preserve">A </w:t>
      </w:r>
      <w:r w:rsidR="00065293" w:rsidRPr="00065293">
        <w:rPr>
          <w:rFonts w:eastAsia="Times New Roman" w:cs="Arial"/>
          <w:sz w:val="24"/>
          <w:szCs w:val="20"/>
          <w:lang w:eastAsia="en-GB"/>
        </w:rPr>
        <w:t xml:space="preserve">“Firearm” is to be interpreted as any lethal barrelled weapon that can (or can be converted to) fire a shot, bullet or missile.  “Schools and other educational establishments” is to be interpreted as all buildings and grounds at a school or educational establishment in </w:t>
      </w:r>
      <w:smartTag w:uri="urn:schemas-microsoft-com:office:smarttags" w:element="country-region">
        <w:smartTag w:uri="urn:schemas-microsoft-com:office:smarttags" w:element="place">
          <w:r w:rsidR="00065293" w:rsidRPr="00065293">
            <w:rPr>
              <w:rFonts w:eastAsia="Times New Roman" w:cs="Arial"/>
              <w:sz w:val="24"/>
              <w:szCs w:val="20"/>
              <w:lang w:eastAsia="en-GB"/>
            </w:rPr>
            <w:t>Kent</w:t>
          </w:r>
        </w:smartTag>
      </w:smartTag>
      <w:r w:rsidR="00065293" w:rsidRPr="00065293">
        <w:rPr>
          <w:rFonts w:eastAsia="Times New Roman" w:cs="Arial"/>
          <w:sz w:val="24"/>
          <w:szCs w:val="20"/>
          <w:lang w:eastAsia="en-GB"/>
        </w:rPr>
        <w:t xml:space="preserve"> in receipt of County Council funding.  “Offensive weapon” is to be interpreted as any device made, used or adapted to cause injury. </w:t>
      </w:r>
    </w:p>
    <w:p w14:paraId="4642BBD0" w14:textId="77777777" w:rsidR="00065293" w:rsidRPr="00065293" w:rsidRDefault="00065293"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092BF42E" w14:textId="77777777" w:rsidR="00065293" w:rsidRPr="00065293" w:rsidRDefault="00065293" w:rsidP="00065293">
      <w:pPr>
        <w:overflowPunct w:val="0"/>
        <w:autoSpaceDE w:val="0"/>
        <w:autoSpaceDN w:val="0"/>
        <w:adjustRightInd w:val="0"/>
        <w:spacing w:after="0" w:line="240" w:lineRule="auto"/>
        <w:ind w:left="720" w:hanging="720"/>
        <w:textAlignment w:val="baseline"/>
        <w:rPr>
          <w:rFonts w:eastAsia="Times New Roman" w:cs="Arial"/>
          <w:b/>
          <w:sz w:val="24"/>
          <w:szCs w:val="20"/>
          <w:lang w:eastAsia="en-GB"/>
        </w:rPr>
      </w:pPr>
      <w:r w:rsidRPr="00065293">
        <w:rPr>
          <w:rFonts w:eastAsia="Times New Roman" w:cs="Arial"/>
          <w:b/>
          <w:sz w:val="24"/>
          <w:szCs w:val="20"/>
          <w:lang w:eastAsia="en-GB"/>
        </w:rPr>
        <w:t>Exceptions</w:t>
      </w:r>
    </w:p>
    <w:p w14:paraId="7643457A" w14:textId="77777777" w:rsidR="00065293" w:rsidRPr="00065293" w:rsidRDefault="00A33E1F" w:rsidP="00065293">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Pr>
          <w:rFonts w:eastAsia="Times New Roman" w:cs="Arial"/>
          <w:sz w:val="24"/>
          <w:szCs w:val="20"/>
          <w:lang w:eastAsia="en-GB"/>
        </w:rPr>
        <w:t>5</w:t>
      </w:r>
      <w:r w:rsidR="00065293" w:rsidRPr="00065293">
        <w:rPr>
          <w:rFonts w:eastAsia="Times New Roman" w:cs="Arial"/>
          <w:sz w:val="24"/>
          <w:szCs w:val="20"/>
          <w:lang w:eastAsia="en-GB"/>
        </w:rPr>
        <w:t>.</w:t>
      </w:r>
      <w:r w:rsidR="00065293" w:rsidRPr="00065293">
        <w:rPr>
          <w:rFonts w:eastAsia="Times New Roman" w:cs="Arial"/>
          <w:sz w:val="24"/>
          <w:szCs w:val="20"/>
          <w:lang w:eastAsia="en-GB"/>
        </w:rPr>
        <w:tab/>
        <w:t>In a very limited number of instances, there may be permitted exceptions to this general proscription.  These are that firearms may be held:</w:t>
      </w:r>
    </w:p>
    <w:p w14:paraId="0DCD3F14" w14:textId="77777777" w:rsidR="00065293" w:rsidRPr="00065293" w:rsidRDefault="00065293" w:rsidP="00065293">
      <w:pPr>
        <w:numPr>
          <w:ilvl w:val="0"/>
          <w:numId w:val="4"/>
        </w:numPr>
        <w:overflowPunct w:val="0"/>
        <w:autoSpaceDE w:val="0"/>
        <w:autoSpaceDN w:val="0"/>
        <w:adjustRightInd w:val="0"/>
        <w:spacing w:after="0" w:line="240" w:lineRule="auto"/>
        <w:ind w:left="1440" w:hanging="720"/>
        <w:textAlignment w:val="baseline"/>
        <w:rPr>
          <w:rFonts w:eastAsia="Times New Roman" w:cs="Arial"/>
          <w:sz w:val="24"/>
          <w:szCs w:val="20"/>
          <w:lang w:eastAsia="en-GB"/>
        </w:rPr>
      </w:pPr>
      <w:r w:rsidRPr="00065293">
        <w:rPr>
          <w:rFonts w:eastAsia="Times New Roman" w:cs="Arial"/>
          <w:sz w:val="24"/>
          <w:szCs w:val="20"/>
          <w:lang w:eastAsia="en-GB"/>
        </w:rPr>
        <w:t>For the specific supervised safe use by a Cadet Force</w:t>
      </w:r>
      <w:r w:rsidRPr="00D36B98">
        <w:rPr>
          <w:rFonts w:eastAsia="Times New Roman" w:cs="Arial"/>
          <w:sz w:val="24"/>
          <w:szCs w:val="20"/>
          <w:vertAlign w:val="superscript"/>
          <w:lang w:eastAsia="en-GB"/>
        </w:rPr>
        <w:footnoteReference w:id="1"/>
      </w:r>
    </w:p>
    <w:p w14:paraId="15F98928" w14:textId="77777777" w:rsidR="00A33E1F" w:rsidRDefault="00065293" w:rsidP="00065293">
      <w:pPr>
        <w:numPr>
          <w:ilvl w:val="0"/>
          <w:numId w:val="4"/>
        </w:numPr>
        <w:overflowPunct w:val="0"/>
        <w:autoSpaceDE w:val="0"/>
        <w:autoSpaceDN w:val="0"/>
        <w:adjustRightInd w:val="0"/>
        <w:spacing w:after="0" w:line="240" w:lineRule="auto"/>
        <w:ind w:left="1440" w:hanging="720"/>
        <w:textAlignment w:val="baseline"/>
        <w:rPr>
          <w:rFonts w:eastAsia="Times New Roman" w:cs="Arial"/>
          <w:sz w:val="24"/>
          <w:szCs w:val="20"/>
          <w:lang w:eastAsia="en-GB"/>
        </w:rPr>
      </w:pPr>
      <w:r w:rsidRPr="00065293">
        <w:rPr>
          <w:rFonts w:eastAsia="Times New Roman" w:cs="Arial"/>
          <w:sz w:val="24"/>
          <w:szCs w:val="20"/>
          <w:lang w:eastAsia="en-GB"/>
        </w:rPr>
        <w:t>For safe use by school staff in sporting events (purpose-made firearms known as starting pistols)</w:t>
      </w:r>
      <w:r w:rsidRPr="00D36B98">
        <w:rPr>
          <w:rFonts w:eastAsia="Times New Roman" w:cs="Arial"/>
          <w:sz w:val="24"/>
          <w:szCs w:val="20"/>
          <w:vertAlign w:val="superscript"/>
          <w:lang w:eastAsia="en-GB"/>
        </w:rPr>
        <w:footnoteReference w:id="2"/>
      </w:r>
    </w:p>
    <w:p w14:paraId="210F816D" w14:textId="77777777" w:rsidR="00065293" w:rsidRPr="00065293" w:rsidRDefault="00065293" w:rsidP="00065293">
      <w:pPr>
        <w:numPr>
          <w:ilvl w:val="0"/>
          <w:numId w:val="4"/>
        </w:numPr>
        <w:overflowPunct w:val="0"/>
        <w:autoSpaceDE w:val="0"/>
        <w:autoSpaceDN w:val="0"/>
        <w:adjustRightInd w:val="0"/>
        <w:spacing w:after="0" w:line="240" w:lineRule="auto"/>
        <w:ind w:left="1440" w:hanging="720"/>
        <w:textAlignment w:val="baseline"/>
        <w:rPr>
          <w:rFonts w:eastAsia="Times New Roman" w:cs="Arial"/>
          <w:sz w:val="24"/>
          <w:szCs w:val="20"/>
          <w:lang w:eastAsia="en-GB"/>
        </w:rPr>
      </w:pPr>
      <w:r w:rsidRPr="00065293">
        <w:rPr>
          <w:rFonts w:eastAsia="Times New Roman" w:cs="Arial"/>
          <w:sz w:val="24"/>
          <w:szCs w:val="20"/>
          <w:lang w:eastAsia="en-GB"/>
        </w:rPr>
        <w:t>For safe use in some scientific experiments</w:t>
      </w:r>
      <w:r w:rsidRPr="00D36B98">
        <w:rPr>
          <w:rFonts w:eastAsia="Times New Roman" w:cs="Arial"/>
          <w:sz w:val="24"/>
          <w:szCs w:val="20"/>
          <w:vertAlign w:val="superscript"/>
          <w:lang w:eastAsia="en-GB"/>
        </w:rPr>
        <w:footnoteReference w:id="3"/>
      </w:r>
    </w:p>
    <w:p w14:paraId="6AE4E76B" w14:textId="77777777" w:rsidR="00510801" w:rsidRDefault="00510801" w:rsidP="00D36B98">
      <w:pPr>
        <w:overflowPunct w:val="0"/>
        <w:autoSpaceDE w:val="0"/>
        <w:autoSpaceDN w:val="0"/>
        <w:adjustRightInd w:val="0"/>
        <w:spacing w:after="0" w:line="240" w:lineRule="auto"/>
        <w:ind w:left="720"/>
        <w:textAlignment w:val="baseline"/>
        <w:rPr>
          <w:rFonts w:eastAsia="Times New Roman" w:cs="Arial"/>
          <w:sz w:val="24"/>
          <w:szCs w:val="20"/>
          <w:lang w:eastAsia="en-GB"/>
        </w:rPr>
      </w:pPr>
    </w:p>
    <w:p w14:paraId="6A8EF63E" w14:textId="77777777" w:rsidR="00D36B98" w:rsidRPr="00D36B98" w:rsidRDefault="00D36B98" w:rsidP="00D36B98">
      <w:pPr>
        <w:overflowPunct w:val="0"/>
        <w:autoSpaceDE w:val="0"/>
        <w:autoSpaceDN w:val="0"/>
        <w:adjustRightInd w:val="0"/>
        <w:spacing w:after="0" w:line="240" w:lineRule="auto"/>
        <w:ind w:left="720"/>
        <w:textAlignment w:val="baseline"/>
        <w:rPr>
          <w:rFonts w:eastAsia="Times New Roman" w:cs="Arial"/>
          <w:sz w:val="24"/>
          <w:szCs w:val="20"/>
          <w:lang w:eastAsia="en-GB"/>
        </w:rPr>
      </w:pPr>
      <w:r w:rsidRPr="00D36B98">
        <w:rPr>
          <w:rFonts w:eastAsia="Times New Roman" w:cs="Arial"/>
          <w:sz w:val="24"/>
          <w:szCs w:val="20"/>
          <w:lang w:eastAsia="en-GB"/>
        </w:rPr>
        <w:t>Existing guidance identified in each footnote should be referred to where such firearms are kept in order to ensure that they are legally held, used and kept safely</w:t>
      </w:r>
      <w:r w:rsidR="00794546" w:rsidRPr="00D36B98">
        <w:rPr>
          <w:rFonts w:eastAsia="Times New Roman" w:cs="Arial"/>
          <w:sz w:val="24"/>
          <w:szCs w:val="20"/>
          <w:vertAlign w:val="superscript"/>
          <w:lang w:eastAsia="en-GB"/>
        </w:rPr>
        <w:footnoteReference w:id="4"/>
      </w:r>
      <w:r w:rsidRPr="00D36B98">
        <w:rPr>
          <w:rFonts w:eastAsia="Times New Roman" w:cs="Arial"/>
          <w:sz w:val="24"/>
          <w:szCs w:val="20"/>
          <w:lang w:eastAsia="en-GB"/>
        </w:rPr>
        <w:t xml:space="preserve">. </w:t>
      </w:r>
    </w:p>
    <w:p w14:paraId="0989AAD4" w14:textId="77777777" w:rsidR="00D36B98" w:rsidRPr="00D36B98" w:rsidRDefault="00D36B98" w:rsidP="001038F0">
      <w:pPr>
        <w:overflowPunct w:val="0"/>
        <w:autoSpaceDE w:val="0"/>
        <w:autoSpaceDN w:val="0"/>
        <w:adjustRightInd w:val="0"/>
        <w:spacing w:after="0" w:line="240" w:lineRule="auto"/>
        <w:ind w:left="720"/>
        <w:textAlignment w:val="baseline"/>
        <w:rPr>
          <w:rFonts w:eastAsia="Times New Roman" w:cs="Arial"/>
          <w:sz w:val="24"/>
          <w:szCs w:val="20"/>
          <w:lang w:eastAsia="en-GB"/>
        </w:rPr>
      </w:pPr>
      <w:r w:rsidRPr="00D36B98">
        <w:rPr>
          <w:rFonts w:eastAsia="Times New Roman" w:cs="Arial"/>
          <w:sz w:val="24"/>
          <w:szCs w:val="20"/>
          <w:lang w:eastAsia="en-GB"/>
        </w:rPr>
        <w:lastRenderedPageBreak/>
        <w:t xml:space="preserve">Exceptions must be agreed in writing by the </w:t>
      </w:r>
      <w:r w:rsidR="00B06375">
        <w:rPr>
          <w:rFonts w:eastAsia="Times New Roman" w:cs="Arial"/>
          <w:sz w:val="24"/>
          <w:szCs w:val="20"/>
          <w:lang w:eastAsia="en-GB"/>
        </w:rPr>
        <w:t>Corporate</w:t>
      </w:r>
      <w:r w:rsidRPr="00D36B98">
        <w:rPr>
          <w:rFonts w:eastAsia="Times New Roman" w:cs="Arial"/>
          <w:sz w:val="24"/>
          <w:szCs w:val="20"/>
          <w:lang w:eastAsia="en-GB"/>
        </w:rPr>
        <w:t xml:space="preserve"> Director</w:t>
      </w:r>
      <w:r w:rsidR="00B06375">
        <w:rPr>
          <w:rFonts w:eastAsia="Times New Roman" w:cs="Arial"/>
          <w:sz w:val="24"/>
          <w:szCs w:val="20"/>
          <w:lang w:eastAsia="en-GB"/>
        </w:rPr>
        <w:t xml:space="preserve"> of </w:t>
      </w:r>
      <w:r w:rsidR="00110097">
        <w:rPr>
          <w:rFonts w:eastAsia="Times New Roman" w:cs="Arial"/>
          <w:sz w:val="24"/>
          <w:szCs w:val="20"/>
          <w:lang w:eastAsia="en-GB"/>
        </w:rPr>
        <w:t>Children, Young People and Education or their</w:t>
      </w:r>
      <w:r w:rsidRPr="00D36B98">
        <w:rPr>
          <w:rFonts w:eastAsia="Times New Roman" w:cs="Arial"/>
          <w:sz w:val="24"/>
          <w:szCs w:val="20"/>
          <w:lang w:eastAsia="en-GB"/>
        </w:rPr>
        <w:t xml:space="preserve"> nominated representative, and are to be renewed annually.</w:t>
      </w:r>
    </w:p>
    <w:p w14:paraId="016B35A0" w14:textId="77777777" w:rsidR="00D36B98" w:rsidRPr="00D36B98" w:rsidRDefault="00D36B98"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08F4EDDB" w14:textId="77777777" w:rsidR="00D36B98" w:rsidRPr="00D36B98" w:rsidRDefault="00D36B98" w:rsidP="001038F0">
      <w:pPr>
        <w:overflowPunct w:val="0"/>
        <w:autoSpaceDE w:val="0"/>
        <w:autoSpaceDN w:val="0"/>
        <w:adjustRightInd w:val="0"/>
        <w:spacing w:after="0" w:line="240" w:lineRule="auto"/>
        <w:ind w:left="720" w:hanging="720"/>
        <w:textAlignment w:val="baseline"/>
        <w:rPr>
          <w:rFonts w:eastAsia="Times New Roman" w:cs="Arial"/>
          <w:b/>
          <w:sz w:val="24"/>
          <w:szCs w:val="20"/>
          <w:lang w:eastAsia="en-GB"/>
        </w:rPr>
      </w:pPr>
      <w:r w:rsidRPr="00D36B98">
        <w:rPr>
          <w:rFonts w:eastAsia="Times New Roman" w:cs="Arial"/>
          <w:b/>
          <w:sz w:val="24"/>
          <w:szCs w:val="20"/>
          <w:lang w:eastAsia="en-GB"/>
        </w:rPr>
        <w:t>Health and Safety at Work</w:t>
      </w:r>
    </w:p>
    <w:p w14:paraId="37559CEA" w14:textId="77777777" w:rsidR="00D36B98" w:rsidRPr="00D36B98" w:rsidRDefault="00B06375"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Pr>
          <w:rFonts w:eastAsia="Times New Roman" w:cs="Arial"/>
          <w:sz w:val="24"/>
          <w:szCs w:val="20"/>
          <w:lang w:eastAsia="en-GB"/>
        </w:rPr>
        <w:t>6</w:t>
      </w:r>
      <w:r w:rsidR="00D36B98" w:rsidRPr="00D36B98">
        <w:rPr>
          <w:rFonts w:eastAsia="Times New Roman" w:cs="Arial"/>
          <w:sz w:val="24"/>
          <w:szCs w:val="20"/>
          <w:lang w:eastAsia="en-GB"/>
        </w:rPr>
        <w:t>.</w:t>
      </w:r>
      <w:r w:rsidR="00D36B98" w:rsidRPr="00D36B98">
        <w:rPr>
          <w:rFonts w:eastAsia="Times New Roman" w:cs="Arial"/>
          <w:sz w:val="24"/>
          <w:szCs w:val="20"/>
          <w:lang w:eastAsia="en-GB"/>
        </w:rPr>
        <w:tab/>
        <w:t>The Health and Safety at Work Act 1974 requires KCC to ensure the provision and maintenance of a safe environment at work for employees and all other persons lawfully present on its premises, that is, in so far as is reasonably practicable to do so, without risk to health or safety, and with adequate regard to facilities and arrangements for their welfare.  The Act itself would not, however, prohibit the safe storage of lawfully held firearms or other lawful offensive weapons upon KCC educational premises.</w:t>
      </w:r>
    </w:p>
    <w:p w14:paraId="6A717E61" w14:textId="77777777" w:rsidR="00D36B98" w:rsidRPr="00D36B98" w:rsidRDefault="00D36B98"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1F0A4EC5" w14:textId="77777777" w:rsidR="00D36B98" w:rsidRPr="00D36B98" w:rsidRDefault="00B06375"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Pr>
          <w:rFonts w:eastAsia="Times New Roman" w:cs="Arial"/>
          <w:sz w:val="24"/>
          <w:szCs w:val="20"/>
          <w:lang w:eastAsia="en-GB"/>
        </w:rPr>
        <w:t>7</w:t>
      </w:r>
      <w:r w:rsidR="00D36B98" w:rsidRPr="00D36B98">
        <w:rPr>
          <w:rFonts w:eastAsia="Times New Roman" w:cs="Arial"/>
          <w:sz w:val="24"/>
          <w:szCs w:val="20"/>
          <w:lang w:eastAsia="en-GB"/>
        </w:rPr>
        <w:t>.</w:t>
      </w:r>
      <w:r w:rsidR="00D36B98" w:rsidRPr="00D36B98">
        <w:rPr>
          <w:rFonts w:eastAsia="Times New Roman" w:cs="Arial"/>
          <w:sz w:val="24"/>
          <w:szCs w:val="20"/>
          <w:lang w:eastAsia="en-GB"/>
        </w:rPr>
        <w:tab/>
        <w:t>KCC’s policy does prohibit such an arrangement, as indicated above.  Consequently, in the event that any lawfully held firearms or other offensive weapons are currently stored upon KCC’s education premises, their removal to another safe storage would need to be undertaken by their owner in consultation with the relevant authorities. Alternatively, disposal or destruction may be arranged in consultation with the Police Armourer at the County Police Headquarters.</w:t>
      </w:r>
    </w:p>
    <w:p w14:paraId="697C94E2" w14:textId="77777777" w:rsidR="00D36B98" w:rsidRPr="00D36B98" w:rsidRDefault="00D36B98"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6B68A094" w14:textId="77777777" w:rsidR="00D36B98" w:rsidRPr="00D36B98" w:rsidRDefault="00D36B98"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sidRPr="00D36B98">
        <w:rPr>
          <w:rFonts w:eastAsia="Times New Roman" w:cs="Arial"/>
          <w:b/>
          <w:sz w:val="24"/>
          <w:szCs w:val="20"/>
          <w:lang w:eastAsia="en-GB"/>
        </w:rPr>
        <w:t>Governors’ Annual Report</w:t>
      </w:r>
    </w:p>
    <w:p w14:paraId="27E53EFC" w14:textId="77777777" w:rsidR="00D36B98" w:rsidRPr="00D36B98" w:rsidRDefault="00B06375" w:rsidP="001038F0">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r>
        <w:rPr>
          <w:rFonts w:eastAsia="Times New Roman" w:cs="Arial"/>
          <w:sz w:val="24"/>
          <w:szCs w:val="20"/>
          <w:lang w:eastAsia="en-GB"/>
        </w:rPr>
        <w:t>8</w:t>
      </w:r>
      <w:r w:rsidR="00D36B98" w:rsidRPr="00D36B98">
        <w:rPr>
          <w:rFonts w:eastAsia="Times New Roman" w:cs="Arial"/>
          <w:sz w:val="24"/>
          <w:szCs w:val="20"/>
          <w:lang w:eastAsia="en-GB"/>
        </w:rPr>
        <w:t>.</w:t>
      </w:r>
      <w:r w:rsidR="00D36B98" w:rsidRPr="00D36B98">
        <w:rPr>
          <w:rFonts w:eastAsia="Times New Roman" w:cs="Arial"/>
          <w:sz w:val="24"/>
          <w:szCs w:val="20"/>
          <w:lang w:eastAsia="en-GB"/>
        </w:rPr>
        <w:tab/>
        <w:t>School Governors may wish to consider regularly the implications of the above policy in the context of annual reporting arrangements.</w:t>
      </w:r>
    </w:p>
    <w:p w14:paraId="20AE0EB5" w14:textId="77777777" w:rsidR="00D36B98" w:rsidRPr="00D36B98" w:rsidRDefault="00D36B98" w:rsidP="00D36B98">
      <w:pPr>
        <w:overflowPunct w:val="0"/>
        <w:autoSpaceDE w:val="0"/>
        <w:autoSpaceDN w:val="0"/>
        <w:adjustRightInd w:val="0"/>
        <w:spacing w:after="0" w:line="240" w:lineRule="auto"/>
        <w:ind w:left="720" w:hanging="720"/>
        <w:textAlignment w:val="baseline"/>
        <w:rPr>
          <w:rFonts w:eastAsia="Times New Roman" w:cs="Arial"/>
          <w:sz w:val="24"/>
          <w:szCs w:val="20"/>
          <w:lang w:eastAsia="en-GB"/>
        </w:rPr>
      </w:pPr>
    </w:p>
    <w:p w14:paraId="50770254" w14:textId="77777777" w:rsidR="00AA1BAB" w:rsidRDefault="00AA1BAB" w:rsidP="00B162A6"/>
    <w:sectPr w:rsidR="00AA1BAB" w:rsidSect="000A56FE">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C8E7E" w14:textId="77777777" w:rsidR="000A56FE" w:rsidRDefault="000A56FE" w:rsidP="00AA1BAB">
      <w:pPr>
        <w:spacing w:after="0" w:line="240" w:lineRule="auto"/>
      </w:pPr>
      <w:r>
        <w:separator/>
      </w:r>
    </w:p>
  </w:endnote>
  <w:endnote w:type="continuationSeparator" w:id="0">
    <w:p w14:paraId="6849BC95" w14:textId="77777777" w:rsidR="000A56FE" w:rsidRDefault="000A56FE"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4CC" w14:textId="77777777" w:rsidR="00AA1BAB" w:rsidRDefault="00AA1BAB">
    <w:pPr>
      <w:pStyle w:val="Footer"/>
    </w:pPr>
  </w:p>
  <w:p w14:paraId="43FEB51E" w14:textId="77777777" w:rsidR="00AA1BAB" w:rsidRDefault="000A56FE">
    <w:pPr>
      <w:pStyle w:val="Footer"/>
    </w:pPr>
    <w:r>
      <w:rPr>
        <w:noProof/>
        <w:lang w:eastAsia="en-GB"/>
      </w:rPr>
      <w:drawing>
        <wp:anchor distT="0" distB="0" distL="114300" distR="114300" simplePos="0" relativeHeight="251656192" behindDoc="0" locked="0" layoutInCell="1" allowOverlap="1" wp14:anchorId="491E8BDF" wp14:editId="168DA8C2">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C59F" w14:textId="3F3D2C81" w:rsidR="00B173BC" w:rsidRPr="00794546" w:rsidRDefault="00794546">
    <w:pPr>
      <w:pStyle w:val="Footer"/>
      <w:rPr>
        <w:sz w:val="16"/>
        <w:szCs w:val="16"/>
      </w:rPr>
    </w:pPr>
    <w:r w:rsidRPr="00794546">
      <w:rPr>
        <w:sz w:val="16"/>
        <w:szCs w:val="16"/>
      </w:rPr>
      <w:t>H</w:t>
    </w:r>
    <w:r w:rsidR="006F6095">
      <w:rPr>
        <w:sz w:val="16"/>
        <w:szCs w:val="16"/>
      </w:rPr>
      <w:t xml:space="preserve">&amp;S/CC/Reviewed </w:t>
    </w:r>
    <w:r w:rsidR="001038F0">
      <w:rPr>
        <w:sz w:val="16"/>
        <w:szCs w:val="16"/>
      </w:rPr>
      <w:t>18.05.2021</w:t>
    </w:r>
    <w:r w:rsidR="006F6095">
      <w:rPr>
        <w:sz w:val="16"/>
        <w:szCs w:val="16"/>
      </w:rPr>
      <w:t xml:space="preserve">/Next Review </w:t>
    </w:r>
    <w:r w:rsidR="001038F0">
      <w:rPr>
        <w:sz w:val="16"/>
        <w:szCs w:val="16"/>
      </w:rPr>
      <w:t>2023</w:t>
    </w:r>
  </w:p>
  <w:p w14:paraId="27183576" w14:textId="77777777" w:rsidR="00B173BC" w:rsidRDefault="00B1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42C9" w14:textId="77777777" w:rsidR="000A56FE" w:rsidRDefault="000A56FE" w:rsidP="00AA1BAB">
      <w:pPr>
        <w:spacing w:after="0" w:line="240" w:lineRule="auto"/>
      </w:pPr>
      <w:r>
        <w:separator/>
      </w:r>
    </w:p>
  </w:footnote>
  <w:footnote w:type="continuationSeparator" w:id="0">
    <w:p w14:paraId="1F33D5AF" w14:textId="77777777" w:rsidR="000A56FE" w:rsidRDefault="000A56FE" w:rsidP="00AA1BAB">
      <w:pPr>
        <w:spacing w:after="0" w:line="240" w:lineRule="auto"/>
      </w:pPr>
      <w:r>
        <w:continuationSeparator/>
      </w:r>
    </w:p>
  </w:footnote>
  <w:footnote w:id="1">
    <w:p w14:paraId="04F15C2C" w14:textId="77777777" w:rsidR="00065293" w:rsidRPr="00D36B98" w:rsidRDefault="00065293" w:rsidP="00065293">
      <w:pPr>
        <w:pStyle w:val="FootnoteText"/>
        <w:rPr>
          <w:rFonts w:ascii="Arial" w:hAnsi="Arial" w:cs="Arial"/>
        </w:rPr>
      </w:pPr>
      <w:r w:rsidRPr="00D36B98">
        <w:rPr>
          <w:rStyle w:val="FootnoteReference"/>
          <w:rFonts w:ascii="Arial" w:hAnsi="Arial" w:cs="Arial"/>
          <w:sz w:val="18"/>
        </w:rPr>
        <w:footnoteRef/>
      </w:r>
      <w:r w:rsidRPr="00D36B98">
        <w:rPr>
          <w:rFonts w:ascii="Arial" w:hAnsi="Arial" w:cs="Arial"/>
          <w:sz w:val="18"/>
        </w:rPr>
        <w:t xml:space="preserve"> As prescribed by the Ministry of Defence</w:t>
      </w:r>
    </w:p>
  </w:footnote>
  <w:footnote w:id="2">
    <w:p w14:paraId="3A69B7B0" w14:textId="1BDF055C" w:rsidR="00065293" w:rsidRDefault="00065293" w:rsidP="00A33E1F">
      <w:pPr>
        <w:pStyle w:val="FootnoteText"/>
      </w:pPr>
      <w:r w:rsidRPr="00D36B98">
        <w:rPr>
          <w:rStyle w:val="FootnoteReference"/>
          <w:rFonts w:ascii="Arial" w:hAnsi="Arial" w:cs="Arial"/>
          <w:sz w:val="18"/>
        </w:rPr>
        <w:footnoteRef/>
      </w:r>
      <w:r w:rsidRPr="00D36B98">
        <w:rPr>
          <w:rFonts w:ascii="Arial" w:hAnsi="Arial" w:cs="Arial"/>
          <w:sz w:val="18"/>
        </w:rPr>
        <w:t xml:space="preserve"> As laid down in “Safe Practice in Physic</w:t>
      </w:r>
      <w:r w:rsidR="00B06375">
        <w:rPr>
          <w:rFonts w:ascii="Arial" w:hAnsi="Arial" w:cs="Arial"/>
          <w:sz w:val="18"/>
        </w:rPr>
        <w:t>al Education” 201</w:t>
      </w:r>
      <w:r w:rsidR="00F23EBC">
        <w:rPr>
          <w:rFonts w:ascii="Arial" w:hAnsi="Arial" w:cs="Arial"/>
          <w:sz w:val="18"/>
        </w:rPr>
        <w:t>6</w:t>
      </w:r>
      <w:r w:rsidR="00B06375">
        <w:rPr>
          <w:rFonts w:ascii="Arial" w:hAnsi="Arial" w:cs="Arial"/>
          <w:sz w:val="18"/>
        </w:rPr>
        <w:t xml:space="preserve"> which states, ‘Firearms are not acceptable as starting devices in schools, </w:t>
      </w:r>
      <w:proofErr w:type="gramStart"/>
      <w:r w:rsidR="00B06375">
        <w:rPr>
          <w:rFonts w:ascii="Arial" w:hAnsi="Arial" w:cs="Arial"/>
          <w:sz w:val="18"/>
        </w:rPr>
        <w:t>with the exception of</w:t>
      </w:r>
      <w:proofErr w:type="gramEnd"/>
      <w:r w:rsidR="00B06375">
        <w:rPr>
          <w:rFonts w:ascii="Arial" w:hAnsi="Arial" w:cs="Arial"/>
          <w:sz w:val="18"/>
        </w:rPr>
        <w:t xml:space="preserve"> very small calibre cap-firing pistols. Clapperboards or similar implements are preferred.</w:t>
      </w:r>
    </w:p>
  </w:footnote>
  <w:footnote w:id="3">
    <w:p w14:paraId="04B89B28" w14:textId="77777777" w:rsidR="00065293" w:rsidRDefault="00065293" w:rsidP="00346364">
      <w:pPr>
        <w:spacing w:after="0" w:line="240" w:lineRule="auto"/>
      </w:pPr>
      <w:r>
        <w:rPr>
          <w:rStyle w:val="FootnoteReference"/>
          <w:sz w:val="18"/>
        </w:rPr>
        <w:footnoteRef/>
      </w:r>
      <w:r>
        <w:rPr>
          <w:sz w:val="18"/>
        </w:rPr>
        <w:t xml:space="preserve">  Firearm (air gun) experiments in schools are regulated by Management of Health &amp; Safety at Work</w:t>
      </w:r>
      <w:r w:rsidR="00794546">
        <w:rPr>
          <w:sz w:val="18"/>
        </w:rPr>
        <w:t xml:space="preserve"> Regulations 1999,</w:t>
      </w:r>
      <w:r>
        <w:rPr>
          <w:sz w:val="18"/>
        </w:rPr>
        <w:t xml:space="preserve"> which obliges education employers to perform a risk assessment in relation to these experiments</w:t>
      </w:r>
      <w:r w:rsidRPr="00B27E34">
        <w:rPr>
          <w:sz w:val="18"/>
        </w:rPr>
        <w:t>.  The process of risk assessment (what to do and how to do it safely) is set out in:  (i) CLEAPPS Laboratory Handbook</w:t>
      </w:r>
      <w:r w:rsidR="00B27E34">
        <w:rPr>
          <w:sz w:val="18"/>
        </w:rPr>
        <w:t xml:space="preserve"> Section 2.</w:t>
      </w:r>
    </w:p>
  </w:footnote>
  <w:footnote w:id="4">
    <w:p w14:paraId="3924F432" w14:textId="787B3343" w:rsidR="00794546" w:rsidRDefault="00794546" w:rsidP="00794546">
      <w:pPr>
        <w:spacing w:after="0" w:line="240" w:lineRule="auto"/>
        <w:rPr>
          <w:sz w:val="18"/>
        </w:rPr>
      </w:pPr>
      <w:r>
        <w:rPr>
          <w:rStyle w:val="FootnoteReference"/>
          <w:sz w:val="18"/>
        </w:rPr>
        <w:footnoteRef/>
      </w:r>
      <w:r>
        <w:rPr>
          <w:sz w:val="18"/>
        </w:rPr>
        <w:t xml:space="preserve">  Refer to the Firearms Security Handbook 20</w:t>
      </w:r>
      <w:r w:rsidR="001038F0">
        <w:rPr>
          <w:sz w:val="18"/>
        </w:rPr>
        <w:t>20</w:t>
      </w:r>
      <w:r>
        <w:rPr>
          <w:sz w:val="18"/>
        </w:rPr>
        <w:t xml:space="preserve"> for guidance on secure storage of firearms.</w:t>
      </w:r>
    </w:p>
    <w:p w14:paraId="59B8F183" w14:textId="77777777" w:rsidR="00794546" w:rsidRDefault="00794546" w:rsidP="00794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3853" w14:textId="77777777" w:rsidR="00AA1BAB" w:rsidRDefault="00AA1BAB">
    <w:pPr>
      <w:pStyle w:val="Header"/>
    </w:pPr>
  </w:p>
  <w:p w14:paraId="43B89601"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E23F" w14:textId="77777777" w:rsidR="00315B53" w:rsidRDefault="00315B53" w:rsidP="00315B53">
    <w:pPr>
      <w:spacing w:after="0"/>
      <w:rPr>
        <w:rFonts w:cs="Arial"/>
        <w:b/>
        <w:bCs/>
        <w:color w:val="000000" w:themeColor="text1"/>
        <w:sz w:val="36"/>
        <w:szCs w:val="36"/>
      </w:rPr>
    </w:pPr>
    <w:r w:rsidRPr="00315B53">
      <w:rPr>
        <w:rFonts w:cs="Arial"/>
        <w:b/>
        <w:bCs/>
        <w:color w:val="000000" w:themeColor="text1"/>
        <w:sz w:val="36"/>
        <w:szCs w:val="36"/>
      </w:rPr>
      <w:t xml:space="preserve">Policy on Firearms and Other Offensive Weapons </w:t>
    </w:r>
  </w:p>
  <w:p w14:paraId="4F3A80F3" w14:textId="5D8BC0F2" w:rsidR="00315B53" w:rsidRPr="00315B53" w:rsidRDefault="00315B53" w:rsidP="00315B53">
    <w:pPr>
      <w:spacing w:after="0"/>
      <w:rPr>
        <w:rFonts w:cs="Arial"/>
        <w:b/>
        <w:bCs/>
        <w:color w:val="000000" w:themeColor="text1"/>
        <w:sz w:val="36"/>
        <w:szCs w:val="36"/>
      </w:rPr>
    </w:pPr>
    <w:r w:rsidRPr="00315B53">
      <w:rPr>
        <w:rFonts w:cs="Arial"/>
        <w:b/>
        <w:bCs/>
        <w:color w:val="000000" w:themeColor="text1"/>
        <w:sz w:val="36"/>
        <w:szCs w:val="36"/>
      </w:rPr>
      <w:t>in Schools and Other Educational Establishments</w:t>
    </w:r>
  </w:p>
  <w:p w14:paraId="7EFAA41E" w14:textId="5E9E4AA3" w:rsidR="000A56FE" w:rsidRDefault="000A56FE">
    <w:pPr>
      <w:pStyle w:val="Header"/>
    </w:pPr>
    <w:r>
      <w:rPr>
        <w:noProof/>
        <w:lang w:eastAsia="en-GB"/>
      </w:rPr>
      <w:drawing>
        <wp:anchor distT="0" distB="0" distL="114300" distR="114300" simplePos="0" relativeHeight="251657216" behindDoc="1" locked="0" layoutInCell="1" allowOverlap="1" wp14:anchorId="3BC66D6C" wp14:editId="3C79AB11">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D48AD8"/>
    <w:lvl w:ilvl="0">
      <w:numFmt w:val="bullet"/>
      <w:lvlText w:val="*"/>
      <w:lvlJc w:val="left"/>
    </w:lvl>
  </w:abstractNum>
  <w:abstractNum w:abstractNumId="1"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2057D"/>
    <w:rsid w:val="00065293"/>
    <w:rsid w:val="000A56FE"/>
    <w:rsid w:val="001038F0"/>
    <w:rsid w:val="00110097"/>
    <w:rsid w:val="001B57D9"/>
    <w:rsid w:val="002417E4"/>
    <w:rsid w:val="00315B53"/>
    <w:rsid w:val="00346364"/>
    <w:rsid w:val="003B5C5F"/>
    <w:rsid w:val="003B7B43"/>
    <w:rsid w:val="004A607B"/>
    <w:rsid w:val="00510801"/>
    <w:rsid w:val="0051517D"/>
    <w:rsid w:val="00520C96"/>
    <w:rsid w:val="00554D69"/>
    <w:rsid w:val="0055796B"/>
    <w:rsid w:val="00580C17"/>
    <w:rsid w:val="005A2F73"/>
    <w:rsid w:val="005F1B5A"/>
    <w:rsid w:val="0062299B"/>
    <w:rsid w:val="006663A8"/>
    <w:rsid w:val="00694D0E"/>
    <w:rsid w:val="006D4EB4"/>
    <w:rsid w:val="006F6095"/>
    <w:rsid w:val="00763C73"/>
    <w:rsid w:val="00794546"/>
    <w:rsid w:val="008F673C"/>
    <w:rsid w:val="009C6346"/>
    <w:rsid w:val="009D5F70"/>
    <w:rsid w:val="00A33E1F"/>
    <w:rsid w:val="00A531DE"/>
    <w:rsid w:val="00A64218"/>
    <w:rsid w:val="00AA1BAB"/>
    <w:rsid w:val="00B06375"/>
    <w:rsid w:val="00B162A6"/>
    <w:rsid w:val="00B173BC"/>
    <w:rsid w:val="00B27E34"/>
    <w:rsid w:val="00B4058A"/>
    <w:rsid w:val="00B52C61"/>
    <w:rsid w:val="00B53BC4"/>
    <w:rsid w:val="00BF02BA"/>
    <w:rsid w:val="00C614E5"/>
    <w:rsid w:val="00CB190D"/>
    <w:rsid w:val="00D36B98"/>
    <w:rsid w:val="00D672D2"/>
    <w:rsid w:val="00D7495C"/>
    <w:rsid w:val="00E11C07"/>
    <w:rsid w:val="00E705F5"/>
    <w:rsid w:val="00EF2AB1"/>
    <w:rsid w:val="00F22692"/>
    <w:rsid w:val="00F23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24D05EB9"/>
  <w15:docId w15:val="{28D015C9-29CB-4BAA-B83D-B7B26F02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styleId="FootnoteText">
    <w:name w:val="footnote text"/>
    <w:basedOn w:val="Normal"/>
    <w:link w:val="FootnoteTextChar"/>
    <w:semiHidden/>
    <w:rsid w:val="00065293"/>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semiHidden/>
    <w:rsid w:val="00065293"/>
    <w:rPr>
      <w:rFonts w:ascii="Times New Roman" w:eastAsia="Times New Roman" w:hAnsi="Times New Roman"/>
    </w:rPr>
  </w:style>
  <w:style w:type="character" w:styleId="FootnoteReference">
    <w:name w:val="footnote reference"/>
    <w:semiHidden/>
    <w:rsid w:val="00065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8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35884-45D7-4469-8F51-D52B6229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Archer, Lisa - ST EODD</dc:creator>
  <cp:lastModifiedBy>Christine Carty - ST PC</cp:lastModifiedBy>
  <cp:revision>3</cp:revision>
  <cp:lastPrinted>2017-05-05T10:55:00Z</cp:lastPrinted>
  <dcterms:created xsi:type="dcterms:W3CDTF">2021-05-18T10:28:00Z</dcterms:created>
  <dcterms:modified xsi:type="dcterms:W3CDTF">2021-05-18T10:32:00Z</dcterms:modified>
</cp:coreProperties>
</file>