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13224" w:type="dxa"/>
        <w:tblLook w:val="04A0" w:firstRow="1" w:lastRow="0" w:firstColumn="1" w:lastColumn="0" w:noHBand="0" w:noVBand="1"/>
      </w:tblPr>
      <w:tblGrid>
        <w:gridCol w:w="2059"/>
        <w:gridCol w:w="2264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FF4471" w:rsidRPr="00FF4471" w:rsidTr="00FF4471">
        <w:trPr>
          <w:trHeight w:val="29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Appendix 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471" w:rsidRPr="00FF4471" w:rsidTr="00FF4471">
        <w:trPr>
          <w:trHeight w:val="307"/>
        </w:trPr>
        <w:tc>
          <w:tcPr>
            <w:tcW w:w="9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 of HN  mainstream pupils as % of overall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school population as at August </w:t>
            </w: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Primary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Secondary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Primary and Secondary</w:t>
            </w: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District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Pupils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HN Pupils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Pupils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HN Pupils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Pupils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HN Pupils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East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Canterbury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10,344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2.6%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9,798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20,142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1.6%</w:t>
            </w: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Swale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12,772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2.6%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9,401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0.9%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22,173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1.9%</w:t>
            </w: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Thanet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11,256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1.4%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8,246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0.6%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19,502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1.1%</w:t>
            </w: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East Total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34,372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2.2%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27,445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0.7%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61,817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1.5%</w:t>
            </w: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North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Dartford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9,867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1.2%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9,432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0.2%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19,299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0.7%</w:t>
            </w: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Gravesham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9,455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1.4%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7,550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17,005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0.9%</w:t>
            </w: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Sevenoaks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9,500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1.4%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2,367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0.5%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11,867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1.3%</w:t>
            </w: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North Total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28,822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1.3%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19,349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48,171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0.9%</w:t>
            </w: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Ashford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10,751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1.6%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8,373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19,124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1.0%</w:t>
            </w: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Dover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8,435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1.9%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7,527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0.2%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15,962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1.1%</w:t>
            </w: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Shepway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8,392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1.5%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6,101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14,493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1.0%</w:t>
            </w: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South Total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27,578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1.6%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22,001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49,579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1.0%</w:t>
            </w: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Maidstone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12,634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1.7%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11,772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24,406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1.1%</w:t>
            </w: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 xml:space="preserve">Tonbridge and </w:t>
            </w:r>
            <w:proofErr w:type="spellStart"/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Malling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10,952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1.7%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9,429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0.6%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20,381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1.2%</w:t>
            </w: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Tunbridge Wells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8,669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1.7%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9,141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17,810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1.0%</w:t>
            </w: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West Total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32,255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1.7%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30,342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62,597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1.1%</w:t>
            </w: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471" w:rsidRPr="00FF4471" w:rsidRDefault="00FF4471" w:rsidP="00FF4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4471" w:rsidRPr="00FF4471" w:rsidTr="00FF4471">
        <w:trPr>
          <w:trHeight w:val="307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Overall Total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123,027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2,158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1.8%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99,137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222,164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2,581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471">
              <w:rPr>
                <w:rFonts w:ascii="Calibri" w:hAnsi="Calibri"/>
                <w:color w:val="000000"/>
                <w:sz w:val="22"/>
                <w:szCs w:val="22"/>
              </w:rPr>
              <w:t>1.2%</w:t>
            </w:r>
          </w:p>
        </w:tc>
      </w:tr>
      <w:tr w:rsidR="00FF4471" w:rsidRPr="00FF4471" w:rsidTr="00FF4471">
        <w:trPr>
          <w:trHeight w:val="307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471" w:rsidRPr="00FF4471" w:rsidTr="00FF4471">
        <w:trPr>
          <w:trHeight w:val="292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F447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Notes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471" w:rsidRPr="00FF4471" w:rsidTr="00FF4471">
        <w:trPr>
          <w:trHeight w:val="292"/>
        </w:trPr>
        <w:tc>
          <w:tcPr>
            <w:tcW w:w="8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F4471">
              <w:rPr>
                <w:rFonts w:ascii="Calibri" w:hAnsi="Calibri"/>
                <w:color w:val="000000"/>
                <w:sz w:val="16"/>
                <w:szCs w:val="16"/>
              </w:rPr>
              <w:t>- Pupils = No of pupils in schools , year groups R to 13 as at October 2016 census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4471" w:rsidRPr="00FF4471" w:rsidTr="00FF4471">
        <w:trPr>
          <w:trHeight w:val="672"/>
        </w:trPr>
        <w:tc>
          <w:tcPr>
            <w:tcW w:w="13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F4471">
              <w:rPr>
                <w:rFonts w:ascii="Calibri" w:hAnsi="Calibri"/>
                <w:color w:val="000000"/>
                <w:sz w:val="16"/>
                <w:szCs w:val="16"/>
              </w:rPr>
              <w:t>- HN Pupils = The number of HN pupils funded as at August schools</w:t>
            </w:r>
            <w:r w:rsidRPr="00FF4471">
              <w:rPr>
                <w:rFonts w:ascii="Calibri" w:hAnsi="Calibri"/>
                <w:color w:val="000000"/>
                <w:sz w:val="16"/>
                <w:szCs w:val="16"/>
              </w:rPr>
              <w:t xml:space="preserve"> advance. This is all HN pupil </w:t>
            </w:r>
            <w:r w:rsidRPr="00FF4471">
              <w:rPr>
                <w:rFonts w:ascii="Calibri" w:hAnsi="Calibri"/>
                <w:color w:val="000000"/>
                <w:sz w:val="16"/>
                <w:szCs w:val="16"/>
              </w:rPr>
              <w:t>applications processed up</w:t>
            </w:r>
            <w:r w:rsidRPr="00FF447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FF4471">
              <w:rPr>
                <w:rFonts w:ascii="Calibri" w:hAnsi="Calibri"/>
                <w:color w:val="000000"/>
                <w:sz w:val="16"/>
                <w:szCs w:val="16"/>
              </w:rPr>
              <w:t>to and including the 31 July. It is important to note that more applications will be processed in respect of August in subsequent months.</w:t>
            </w:r>
          </w:p>
        </w:tc>
      </w:tr>
      <w:tr w:rsidR="00FF4471" w:rsidRPr="00FF4471" w:rsidTr="00FF4471">
        <w:trPr>
          <w:trHeight w:val="292"/>
        </w:trPr>
        <w:tc>
          <w:tcPr>
            <w:tcW w:w="112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F4471">
              <w:rPr>
                <w:rFonts w:ascii="Calibri" w:hAnsi="Calibri"/>
                <w:color w:val="000000"/>
                <w:sz w:val="16"/>
                <w:szCs w:val="16"/>
              </w:rPr>
              <w:t>- % = This % expresses the number of HN pupils as a % of the overall school population in years group R to 13.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471" w:rsidRPr="00FF4471" w:rsidRDefault="00FF4471" w:rsidP="00FF4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14B1A" w:rsidRDefault="00B14B1A"/>
    <w:sectPr w:rsidR="00B14B1A" w:rsidSect="00FF4471">
      <w:pgSz w:w="16838" w:h="11906" w:orient="landscape"/>
      <w:pgMar w:top="142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71"/>
    <w:rsid w:val="0010332C"/>
    <w:rsid w:val="005F6860"/>
    <w:rsid w:val="006A3DA6"/>
    <w:rsid w:val="007700CF"/>
    <w:rsid w:val="00B14B1A"/>
    <w:rsid w:val="00C661C1"/>
    <w:rsid w:val="00C81EB5"/>
    <w:rsid w:val="00DF0277"/>
    <w:rsid w:val="00F01A58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2BD725A8</Template>
  <TotalTime>1</TotalTime>
  <Pages>1</Pages>
  <Words>310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Langley, Louise - EY EPA</dc:creator>
  <cp:lastModifiedBy>Langley, Louise - EY EPA</cp:lastModifiedBy>
  <cp:revision>2</cp:revision>
  <dcterms:created xsi:type="dcterms:W3CDTF">2017-09-04T09:29:00Z</dcterms:created>
  <dcterms:modified xsi:type="dcterms:W3CDTF">2017-09-04T09:29:00Z</dcterms:modified>
</cp:coreProperties>
</file>