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EA81B" w14:textId="7FE2EC07" w:rsidR="00437597" w:rsidRPr="00CA4769" w:rsidRDefault="00437597" w:rsidP="00CA4769">
      <w:pPr>
        <w:pStyle w:val="Heading1"/>
      </w:pPr>
      <w:r>
        <w:t xml:space="preserve">Disadvantaged Pupil </w:t>
      </w:r>
      <w:r w:rsidRPr="00B61629">
        <w:t>Case Study</w:t>
      </w:r>
    </w:p>
    <w:p w14:paraId="2763C4BD" w14:textId="77777777" w:rsidR="00437597" w:rsidRPr="00B61629" w:rsidRDefault="00437597" w:rsidP="0043759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1E0" w:firstRow="1" w:lastRow="1" w:firstColumn="1" w:lastColumn="1" w:noHBand="0" w:noVBand="0"/>
      </w:tblPr>
      <w:tblGrid>
        <w:gridCol w:w="5210"/>
        <w:gridCol w:w="5210"/>
      </w:tblGrid>
      <w:tr w:rsidR="00437597" w:rsidRPr="00B61629" w14:paraId="1175B3E8" w14:textId="77777777" w:rsidTr="001C0874">
        <w:tc>
          <w:tcPr>
            <w:tcW w:w="5210" w:type="dxa"/>
            <w:shd w:val="clear" w:color="auto" w:fill="D9E2F3" w:themeFill="accent1" w:themeFillTint="33"/>
          </w:tcPr>
          <w:p w14:paraId="397F5197" w14:textId="75AEDFDA" w:rsidR="00437597" w:rsidRPr="00B61629" w:rsidRDefault="00437597" w:rsidP="001C0874">
            <w:pPr>
              <w:rPr>
                <w:b/>
              </w:rPr>
            </w:pPr>
            <w:r w:rsidRPr="00B61629">
              <w:rPr>
                <w:b/>
              </w:rPr>
              <w:t>Vulnerable Group(s):</w:t>
            </w:r>
            <w:r>
              <w:rPr>
                <w:b/>
              </w:rPr>
              <w:t xml:space="preserve"> </w:t>
            </w:r>
            <w:r w:rsidR="00A63D80">
              <w:rPr>
                <w:b/>
              </w:rPr>
              <w:t xml:space="preserve">PP, </w:t>
            </w:r>
            <w:r w:rsidR="00E1048D">
              <w:rPr>
                <w:b/>
              </w:rPr>
              <w:t xml:space="preserve">SEND </w:t>
            </w:r>
          </w:p>
          <w:p w14:paraId="6469E568" w14:textId="77777777" w:rsidR="00437597" w:rsidRPr="00B61629" w:rsidRDefault="00437597" w:rsidP="001C0874"/>
        </w:tc>
        <w:tc>
          <w:tcPr>
            <w:tcW w:w="5210" w:type="dxa"/>
            <w:shd w:val="clear" w:color="auto" w:fill="D9E2F3" w:themeFill="accent1" w:themeFillTint="33"/>
          </w:tcPr>
          <w:p w14:paraId="4D92BD51" w14:textId="2089AA2F" w:rsidR="00437597" w:rsidRPr="00B61629" w:rsidRDefault="00437597" w:rsidP="00A63D80">
            <w:r w:rsidRPr="00B61629">
              <w:rPr>
                <w:b/>
              </w:rPr>
              <w:t xml:space="preserve">Academic Year: </w:t>
            </w:r>
            <w:r w:rsidR="00E1048D">
              <w:rPr>
                <w:b/>
              </w:rPr>
              <w:t>Year 6</w:t>
            </w:r>
            <w:r w:rsidR="00A63D80">
              <w:rPr>
                <w:b/>
              </w:rPr>
              <w:t xml:space="preserve"> </w:t>
            </w:r>
          </w:p>
        </w:tc>
      </w:tr>
      <w:tr w:rsidR="00437597" w:rsidRPr="00B61629" w14:paraId="1A92CCD3" w14:textId="77777777" w:rsidTr="001C0874">
        <w:tc>
          <w:tcPr>
            <w:tcW w:w="5210" w:type="dxa"/>
            <w:shd w:val="clear" w:color="auto" w:fill="D9E2F3" w:themeFill="accent1" w:themeFillTint="33"/>
          </w:tcPr>
          <w:p w14:paraId="6B8378D6" w14:textId="2E3CA73A" w:rsidR="00437597" w:rsidRPr="00B61629" w:rsidRDefault="00CA4769" w:rsidP="001C0874">
            <w:pPr>
              <w:rPr>
                <w:b/>
              </w:rPr>
            </w:pPr>
            <w:r>
              <w:rPr>
                <w:b/>
              </w:rPr>
              <w:t xml:space="preserve">  </w:t>
            </w:r>
            <w:r w:rsidR="00437597" w:rsidRPr="00B61629">
              <w:rPr>
                <w:b/>
              </w:rPr>
              <w:t>Pupil Name:</w:t>
            </w:r>
            <w:r w:rsidR="00437597">
              <w:rPr>
                <w:b/>
              </w:rPr>
              <w:t xml:space="preserve"> </w:t>
            </w:r>
            <w:r w:rsidR="00E1048D">
              <w:rPr>
                <w:b/>
              </w:rPr>
              <w:t>Sammy</w:t>
            </w:r>
          </w:p>
          <w:p w14:paraId="2DBF945E" w14:textId="77777777" w:rsidR="00437597" w:rsidRPr="00B61629" w:rsidRDefault="00437597" w:rsidP="001C0874"/>
        </w:tc>
        <w:tc>
          <w:tcPr>
            <w:tcW w:w="5210" w:type="dxa"/>
            <w:shd w:val="clear" w:color="auto" w:fill="D9E2F3" w:themeFill="accent1" w:themeFillTint="33"/>
          </w:tcPr>
          <w:p w14:paraId="29AB9FE9" w14:textId="2EB1156F" w:rsidR="00437597" w:rsidRPr="00B61629" w:rsidRDefault="00437597" w:rsidP="001C0874">
            <w:pPr>
              <w:rPr>
                <w:b/>
              </w:rPr>
            </w:pPr>
            <w:r w:rsidRPr="00B61629">
              <w:rPr>
                <w:b/>
              </w:rPr>
              <w:t>Class:</w:t>
            </w:r>
            <w:r>
              <w:rPr>
                <w:b/>
              </w:rPr>
              <w:t xml:space="preserve"> </w:t>
            </w:r>
            <w:r w:rsidR="00E1048D">
              <w:rPr>
                <w:b/>
              </w:rPr>
              <w:t xml:space="preserve">Tigers </w:t>
            </w:r>
          </w:p>
          <w:p w14:paraId="3822653E" w14:textId="77777777" w:rsidR="00437597" w:rsidRPr="00B61629" w:rsidRDefault="00437597" w:rsidP="001C0874"/>
        </w:tc>
      </w:tr>
    </w:tbl>
    <w:p w14:paraId="2D34585E" w14:textId="5B88282F" w:rsidR="00CA4769" w:rsidRDefault="00CA4769" w:rsidP="00437597">
      <w:pPr>
        <w:rPr>
          <w:b/>
        </w:rPr>
      </w:pPr>
    </w:p>
    <w:p w14:paraId="318959F8" w14:textId="77777777" w:rsidR="00437597" w:rsidRPr="00B61629" w:rsidRDefault="00437597" w:rsidP="00437597">
      <w:pPr>
        <w:rPr>
          <w:b/>
        </w:rPr>
      </w:pPr>
      <w:r w:rsidRPr="00B61629">
        <w:rPr>
          <w:b/>
        </w:rPr>
        <w:t>Case History:</w:t>
      </w:r>
    </w:p>
    <w:p w14:paraId="7D4D49DE" w14:textId="77777777" w:rsidR="00437597" w:rsidRPr="00B61629" w:rsidRDefault="00437597" w:rsidP="00437597"/>
    <w:p w14:paraId="0EA43340" w14:textId="77777777" w:rsidR="00000000" w:rsidRPr="00E1048D" w:rsidRDefault="001D6EAD" w:rsidP="00E1048D">
      <w:pPr>
        <w:numPr>
          <w:ilvl w:val="0"/>
          <w:numId w:val="3"/>
        </w:numPr>
        <w:rPr>
          <w:b/>
          <w:lang w:val="en-US"/>
        </w:rPr>
      </w:pPr>
      <w:r w:rsidRPr="00E1048D">
        <w:rPr>
          <w:b/>
          <w:lang w:val="en-US"/>
        </w:rPr>
        <w:t>Diagnosed with ASD and Dyslexia</w:t>
      </w:r>
    </w:p>
    <w:p w14:paraId="4C4ED758" w14:textId="62FA94C7" w:rsidR="00000000" w:rsidRPr="00E1048D" w:rsidRDefault="001D6EAD" w:rsidP="00E1048D">
      <w:pPr>
        <w:numPr>
          <w:ilvl w:val="0"/>
          <w:numId w:val="3"/>
        </w:numPr>
        <w:rPr>
          <w:b/>
          <w:lang w:val="en-US"/>
        </w:rPr>
      </w:pPr>
      <w:r w:rsidRPr="00E1048D">
        <w:rPr>
          <w:b/>
          <w:lang w:val="en-US"/>
        </w:rPr>
        <w:t xml:space="preserve">Previous CiC, now lives with </w:t>
      </w:r>
      <w:r w:rsidR="000D6FD1">
        <w:rPr>
          <w:b/>
          <w:lang w:val="en-US"/>
        </w:rPr>
        <w:t xml:space="preserve">paternal </w:t>
      </w:r>
      <w:r w:rsidRPr="00E1048D">
        <w:rPr>
          <w:b/>
          <w:lang w:val="en-US"/>
        </w:rPr>
        <w:t xml:space="preserve">Grandmother </w:t>
      </w:r>
    </w:p>
    <w:p w14:paraId="07A8348C" w14:textId="77777777" w:rsidR="00000000" w:rsidRPr="00E1048D" w:rsidRDefault="001D6EAD" w:rsidP="00E1048D">
      <w:pPr>
        <w:numPr>
          <w:ilvl w:val="0"/>
          <w:numId w:val="3"/>
        </w:numPr>
        <w:rPr>
          <w:b/>
          <w:lang w:val="en-US"/>
        </w:rPr>
      </w:pPr>
      <w:r w:rsidRPr="00E1048D">
        <w:rPr>
          <w:b/>
          <w:lang w:val="en-US"/>
        </w:rPr>
        <w:t xml:space="preserve">Previous SC&amp;H Involvement </w:t>
      </w:r>
    </w:p>
    <w:p w14:paraId="5AF48FB6" w14:textId="77777777" w:rsidR="00000000" w:rsidRPr="00E1048D" w:rsidRDefault="001D6EAD" w:rsidP="00E1048D">
      <w:pPr>
        <w:numPr>
          <w:ilvl w:val="0"/>
          <w:numId w:val="3"/>
        </w:numPr>
        <w:rPr>
          <w:b/>
          <w:lang w:val="en-US"/>
        </w:rPr>
      </w:pPr>
      <w:r w:rsidRPr="00E1048D">
        <w:rPr>
          <w:b/>
          <w:lang w:val="en-US"/>
        </w:rPr>
        <w:t>Behavioural issues around forming relationships, social communication difficulty and some aggressive behaviour</w:t>
      </w:r>
    </w:p>
    <w:p w14:paraId="733A2370" w14:textId="77777777" w:rsidR="00000000" w:rsidRPr="00E1048D" w:rsidRDefault="001D6EAD" w:rsidP="00E1048D">
      <w:pPr>
        <w:numPr>
          <w:ilvl w:val="0"/>
          <w:numId w:val="3"/>
        </w:numPr>
        <w:rPr>
          <w:b/>
          <w:lang w:val="en-US"/>
        </w:rPr>
      </w:pPr>
      <w:r w:rsidRPr="00E1048D">
        <w:rPr>
          <w:b/>
          <w:lang w:val="en-US"/>
        </w:rPr>
        <w:t xml:space="preserve">At risk of exclusion </w:t>
      </w:r>
    </w:p>
    <w:p w14:paraId="186E763A" w14:textId="77777777" w:rsidR="00000000" w:rsidRPr="00E1048D" w:rsidRDefault="001D6EAD" w:rsidP="00E1048D">
      <w:pPr>
        <w:numPr>
          <w:ilvl w:val="0"/>
          <w:numId w:val="3"/>
        </w:numPr>
        <w:rPr>
          <w:b/>
          <w:lang w:val="en-US"/>
        </w:rPr>
      </w:pPr>
      <w:r w:rsidRPr="00E1048D">
        <w:rPr>
          <w:b/>
          <w:lang w:val="en-US"/>
        </w:rPr>
        <w:t xml:space="preserve">Well supported by 1:1 from HNF in English and maths </w:t>
      </w:r>
    </w:p>
    <w:p w14:paraId="60BA5055" w14:textId="77777777" w:rsidR="00000000" w:rsidRPr="00E1048D" w:rsidRDefault="001D6EAD" w:rsidP="00E1048D">
      <w:pPr>
        <w:numPr>
          <w:ilvl w:val="0"/>
          <w:numId w:val="3"/>
        </w:numPr>
        <w:rPr>
          <w:b/>
          <w:lang w:val="en-US"/>
        </w:rPr>
      </w:pPr>
      <w:r w:rsidRPr="00E1048D">
        <w:rPr>
          <w:b/>
          <w:lang w:val="en-US"/>
        </w:rPr>
        <w:t xml:space="preserve">Summer Born </w:t>
      </w:r>
    </w:p>
    <w:p w14:paraId="66A8AEBC" w14:textId="77777777" w:rsidR="00000000" w:rsidRPr="00E1048D" w:rsidRDefault="001D6EAD" w:rsidP="00E1048D">
      <w:pPr>
        <w:numPr>
          <w:ilvl w:val="0"/>
          <w:numId w:val="3"/>
        </w:numPr>
        <w:rPr>
          <w:b/>
          <w:lang w:val="en-US"/>
        </w:rPr>
      </w:pPr>
      <w:r w:rsidRPr="00E1048D">
        <w:rPr>
          <w:b/>
          <w:lang w:val="en-US"/>
        </w:rPr>
        <w:t xml:space="preserve">Poor Attendance </w:t>
      </w:r>
    </w:p>
    <w:p w14:paraId="704444AD" w14:textId="77777777" w:rsidR="00000000" w:rsidRDefault="001D6EAD" w:rsidP="00E1048D">
      <w:pPr>
        <w:numPr>
          <w:ilvl w:val="0"/>
          <w:numId w:val="3"/>
        </w:numPr>
        <w:rPr>
          <w:b/>
          <w:lang w:val="en-US"/>
        </w:rPr>
      </w:pPr>
      <w:r w:rsidRPr="00E1048D">
        <w:rPr>
          <w:b/>
          <w:lang w:val="en-US"/>
        </w:rPr>
        <w:t>Making strong progress in maths and reading – poor progress in GPS affecting writing outcomes</w:t>
      </w:r>
    </w:p>
    <w:p w14:paraId="67B67560" w14:textId="77777777" w:rsidR="00E97CAB" w:rsidRDefault="00E97CAB" w:rsidP="00E97CAB">
      <w:pPr>
        <w:rPr>
          <w:b/>
          <w:lang w:val="en-US"/>
        </w:rPr>
      </w:pPr>
    </w:p>
    <w:p w14:paraId="5DC1D397" w14:textId="68AD59B7" w:rsidR="00E97CAB" w:rsidRPr="00E97CAB" w:rsidRDefault="00E97CAB" w:rsidP="00E97CAB">
      <w:pPr>
        <w:rPr>
          <w:i/>
          <w:color w:val="FF0000"/>
          <w:lang w:val="en-US"/>
        </w:rPr>
      </w:pPr>
      <w:r>
        <w:rPr>
          <w:i/>
          <w:color w:val="FF0000"/>
          <w:lang w:val="en-US"/>
        </w:rPr>
        <w:t xml:space="preserve">Details of Sammy’s SEND provision is outlined in the school provision map. This provides a general overview to the package of support for Sammy </w:t>
      </w:r>
    </w:p>
    <w:p w14:paraId="203F9763" w14:textId="77777777" w:rsidR="00437597" w:rsidRPr="00B61629" w:rsidRDefault="00437597" w:rsidP="00437597">
      <w:pPr>
        <w:rPr>
          <w:b/>
        </w:rPr>
      </w:pPr>
    </w:p>
    <w:p w14:paraId="68F0E5F3" w14:textId="7CB28573" w:rsidR="00E97CAB" w:rsidRPr="00C0661B" w:rsidRDefault="00C0661B">
      <w:pPr>
        <w:rPr>
          <w:b/>
        </w:rPr>
      </w:pPr>
      <w:r w:rsidRPr="00C0661B">
        <w:rPr>
          <w:b/>
        </w:rPr>
        <w:t xml:space="preserve">Overcoming Barriers Plan: </w:t>
      </w:r>
    </w:p>
    <w:p w14:paraId="7CED4EE7" w14:textId="77777777" w:rsidR="00C0661B" w:rsidRDefault="00C0661B"/>
    <w:tbl>
      <w:tblPr>
        <w:tblStyle w:val="TableGrid"/>
        <w:tblW w:w="14623" w:type="dxa"/>
        <w:tblLook w:val="04A0" w:firstRow="1" w:lastRow="0" w:firstColumn="1" w:lastColumn="0" w:noHBand="0" w:noVBand="1"/>
      </w:tblPr>
      <w:tblGrid>
        <w:gridCol w:w="2256"/>
        <w:gridCol w:w="3792"/>
        <w:gridCol w:w="4414"/>
        <w:gridCol w:w="4161"/>
      </w:tblGrid>
      <w:tr w:rsidR="00707074" w14:paraId="561676B7" w14:textId="77777777" w:rsidTr="00707074">
        <w:tc>
          <w:tcPr>
            <w:tcW w:w="2256" w:type="dxa"/>
            <w:shd w:val="clear" w:color="auto" w:fill="D9E2F3" w:themeFill="accent1" w:themeFillTint="33"/>
          </w:tcPr>
          <w:p w14:paraId="5FDBCD75" w14:textId="73D74B3D" w:rsidR="00C0661B" w:rsidRPr="00093771" w:rsidRDefault="00C0661B" w:rsidP="00093771">
            <w:pPr>
              <w:jc w:val="center"/>
              <w:rPr>
                <w:color w:val="4472C4" w:themeColor="accent1"/>
              </w:rPr>
            </w:pPr>
            <w:r w:rsidRPr="00093771">
              <w:rPr>
                <w:color w:val="4472C4" w:themeColor="accent1"/>
              </w:rPr>
              <w:t>Relationships between home &amp; school: Identified Barriers</w:t>
            </w:r>
          </w:p>
        </w:tc>
        <w:tc>
          <w:tcPr>
            <w:tcW w:w="3792" w:type="dxa"/>
          </w:tcPr>
          <w:p w14:paraId="0E65F9C4" w14:textId="256E6610" w:rsidR="00C0661B" w:rsidRPr="00093771" w:rsidRDefault="00C0661B" w:rsidP="00093771">
            <w:pPr>
              <w:jc w:val="center"/>
              <w:rPr>
                <w:color w:val="4472C4" w:themeColor="accent1"/>
              </w:rPr>
            </w:pPr>
            <w:r w:rsidRPr="00093771">
              <w:rPr>
                <w:color w:val="4472C4" w:themeColor="accent1"/>
              </w:rPr>
              <w:t>Observations and analysis of other information</w:t>
            </w:r>
          </w:p>
        </w:tc>
        <w:tc>
          <w:tcPr>
            <w:tcW w:w="4414" w:type="dxa"/>
          </w:tcPr>
          <w:p w14:paraId="792B9C22" w14:textId="427EAB98" w:rsidR="00C0661B" w:rsidRPr="00093771" w:rsidRDefault="00C0661B" w:rsidP="00093771">
            <w:pPr>
              <w:jc w:val="center"/>
              <w:rPr>
                <w:color w:val="4472C4" w:themeColor="accent1"/>
              </w:rPr>
            </w:pPr>
            <w:r w:rsidRPr="00093771">
              <w:rPr>
                <w:color w:val="4472C4" w:themeColor="accent1"/>
              </w:rPr>
              <w:t>Actions Taken &amp; Timescales</w:t>
            </w:r>
          </w:p>
        </w:tc>
        <w:tc>
          <w:tcPr>
            <w:tcW w:w="4161" w:type="dxa"/>
          </w:tcPr>
          <w:p w14:paraId="1911AC94" w14:textId="174E33E1" w:rsidR="00C0661B" w:rsidRPr="00093771" w:rsidRDefault="00C0661B" w:rsidP="00093771">
            <w:pPr>
              <w:jc w:val="center"/>
              <w:rPr>
                <w:color w:val="4472C4" w:themeColor="accent1"/>
              </w:rPr>
            </w:pPr>
            <w:r w:rsidRPr="00093771">
              <w:rPr>
                <w:color w:val="4472C4" w:themeColor="accent1"/>
              </w:rPr>
              <w:t>Impact</w:t>
            </w:r>
          </w:p>
        </w:tc>
      </w:tr>
      <w:tr w:rsidR="00882D0A" w14:paraId="50490F50" w14:textId="77777777" w:rsidTr="00707074">
        <w:tc>
          <w:tcPr>
            <w:tcW w:w="2256" w:type="dxa"/>
          </w:tcPr>
          <w:p w14:paraId="0E3368B9" w14:textId="0FCC34F7" w:rsidR="00C0661B" w:rsidRDefault="00E97CAB" w:rsidP="00C0661B">
            <w:r>
              <w:t xml:space="preserve">Grandmother was finding Sammy’s behaviour at home particularly challenging </w:t>
            </w:r>
          </w:p>
        </w:tc>
        <w:tc>
          <w:tcPr>
            <w:tcW w:w="3792" w:type="dxa"/>
          </w:tcPr>
          <w:p w14:paraId="65454218" w14:textId="15B8514C" w:rsidR="00C0661B" w:rsidRDefault="00E97CAB">
            <w:r>
              <w:t>-</w:t>
            </w:r>
          </w:p>
        </w:tc>
        <w:tc>
          <w:tcPr>
            <w:tcW w:w="4414" w:type="dxa"/>
          </w:tcPr>
          <w:p w14:paraId="5D57B5FE" w14:textId="77777777" w:rsidR="00C0661B" w:rsidRDefault="00E97CAB">
            <w:r>
              <w:t xml:space="preserve">School supported Gran with access to ASD training course for parents </w:t>
            </w:r>
          </w:p>
          <w:p w14:paraId="2D057819" w14:textId="23624B56" w:rsidR="00E97CAB" w:rsidRDefault="00E97CAB">
            <w:r>
              <w:t xml:space="preserve">Gran also attends a support group for parents with children who have ASD diagnosis </w:t>
            </w:r>
          </w:p>
        </w:tc>
        <w:tc>
          <w:tcPr>
            <w:tcW w:w="4161" w:type="dxa"/>
          </w:tcPr>
          <w:p w14:paraId="45DD27B4" w14:textId="555AC159" w:rsidR="00C0661B" w:rsidRDefault="00E97CAB">
            <w:r>
              <w:t xml:space="preserve">Gran uses many of the same approaches and language as used in school to support Sammy with consistency and feeling more secure. This has helped Sammy in having less </w:t>
            </w:r>
            <w:r>
              <w:lastRenderedPageBreak/>
              <w:t xml:space="preserve">outbursts, although incidents at home are still more frequent than in school </w:t>
            </w:r>
          </w:p>
        </w:tc>
      </w:tr>
      <w:tr w:rsidR="00E97CAB" w14:paraId="690B114E" w14:textId="77777777" w:rsidTr="00707074">
        <w:tc>
          <w:tcPr>
            <w:tcW w:w="2256" w:type="dxa"/>
          </w:tcPr>
          <w:p w14:paraId="7F881697" w14:textId="68A3D54B" w:rsidR="00E97CAB" w:rsidRDefault="00E97CAB" w:rsidP="00C0661B">
            <w:r>
              <w:lastRenderedPageBreak/>
              <w:t xml:space="preserve">Attendance </w:t>
            </w:r>
          </w:p>
        </w:tc>
        <w:tc>
          <w:tcPr>
            <w:tcW w:w="3792" w:type="dxa"/>
          </w:tcPr>
          <w:p w14:paraId="22D79A0A" w14:textId="25A3798E" w:rsidR="00E97CAB" w:rsidRDefault="00E97CAB">
            <w:r>
              <w:t xml:space="preserve">Sammy doesn’t sleep well and will often refuse to get up and come to school in the mornings </w:t>
            </w:r>
          </w:p>
        </w:tc>
        <w:tc>
          <w:tcPr>
            <w:tcW w:w="4414" w:type="dxa"/>
          </w:tcPr>
          <w:p w14:paraId="0B7B0D5D" w14:textId="77777777" w:rsidR="00E97CAB" w:rsidRDefault="00E97CAB">
            <w:r>
              <w:t xml:space="preserve">1:1 meet and greet from named TA in school supports Sammy in having a successful start to the day </w:t>
            </w:r>
          </w:p>
          <w:p w14:paraId="761294AF" w14:textId="77777777" w:rsidR="00E97CAB" w:rsidRDefault="00E97CAB">
            <w:r>
              <w:t xml:space="preserve">Early Help referral supported Gran with some bedtime and early morning routines, supporting Sammy with systems and approaches </w:t>
            </w:r>
          </w:p>
          <w:p w14:paraId="2CA8FF3E" w14:textId="6A54AD49" w:rsidR="00F373ED" w:rsidRDefault="00F373ED">
            <w:r>
              <w:t xml:space="preserve">Sammy has a reward system that travels between home and school specifically around attendance </w:t>
            </w:r>
          </w:p>
          <w:p w14:paraId="443D3CC9" w14:textId="77777777" w:rsidR="00E97CAB" w:rsidRDefault="00E97CAB"/>
        </w:tc>
        <w:tc>
          <w:tcPr>
            <w:tcW w:w="4161" w:type="dxa"/>
          </w:tcPr>
          <w:p w14:paraId="7C51CBF9" w14:textId="7B583BDA" w:rsidR="00E97CAB" w:rsidRDefault="00E97CAB">
            <w:r>
              <w:t xml:space="preserve">Sammy still has high levels of late attendance recorded but attendance has increased significantly from 68% in Year 5 to current 94.4% </w:t>
            </w:r>
          </w:p>
        </w:tc>
      </w:tr>
    </w:tbl>
    <w:p w14:paraId="701A7B60" w14:textId="41DEEB32" w:rsidR="00C0661B" w:rsidRDefault="00C0661B"/>
    <w:tbl>
      <w:tblPr>
        <w:tblStyle w:val="TableGrid"/>
        <w:tblW w:w="14589" w:type="dxa"/>
        <w:tblLook w:val="04A0" w:firstRow="1" w:lastRow="0" w:firstColumn="1" w:lastColumn="0" w:noHBand="0" w:noVBand="1"/>
      </w:tblPr>
      <w:tblGrid>
        <w:gridCol w:w="2291"/>
        <w:gridCol w:w="3841"/>
        <w:gridCol w:w="4330"/>
        <w:gridCol w:w="4127"/>
      </w:tblGrid>
      <w:tr w:rsidR="00707074" w14:paraId="4015F40F" w14:textId="77777777" w:rsidTr="00707074">
        <w:tc>
          <w:tcPr>
            <w:tcW w:w="2291" w:type="dxa"/>
            <w:shd w:val="clear" w:color="auto" w:fill="FBE4D5" w:themeFill="accent2" w:themeFillTint="33"/>
          </w:tcPr>
          <w:p w14:paraId="3217AE6B" w14:textId="2E28FDD4" w:rsidR="00C0661B" w:rsidRPr="00093771" w:rsidRDefault="00C0661B" w:rsidP="00093771">
            <w:pPr>
              <w:jc w:val="center"/>
              <w:rPr>
                <w:color w:val="4472C4" w:themeColor="accent1"/>
              </w:rPr>
            </w:pPr>
            <w:r w:rsidRPr="00093771">
              <w:rPr>
                <w:color w:val="4472C4" w:themeColor="accent1"/>
              </w:rPr>
              <w:t>Readiness for Learning</w:t>
            </w:r>
            <w:r w:rsidRPr="00093771">
              <w:rPr>
                <w:color w:val="4472C4" w:themeColor="accent1"/>
              </w:rPr>
              <w:t>: Identified Barriers</w:t>
            </w:r>
          </w:p>
        </w:tc>
        <w:tc>
          <w:tcPr>
            <w:tcW w:w="3841" w:type="dxa"/>
          </w:tcPr>
          <w:p w14:paraId="518B05D4" w14:textId="759E859B" w:rsidR="00C0661B" w:rsidRPr="00093771" w:rsidRDefault="00C0661B" w:rsidP="00093771">
            <w:pPr>
              <w:jc w:val="center"/>
              <w:rPr>
                <w:color w:val="4472C4" w:themeColor="accent1"/>
              </w:rPr>
            </w:pPr>
            <w:r w:rsidRPr="00093771">
              <w:rPr>
                <w:color w:val="4472C4" w:themeColor="accent1"/>
              </w:rPr>
              <w:t>Observations and analysis of other information</w:t>
            </w:r>
          </w:p>
        </w:tc>
        <w:tc>
          <w:tcPr>
            <w:tcW w:w="4330" w:type="dxa"/>
          </w:tcPr>
          <w:p w14:paraId="5D6B7061" w14:textId="77777777" w:rsidR="00C0661B" w:rsidRPr="00093771" w:rsidRDefault="00C0661B" w:rsidP="00093771">
            <w:pPr>
              <w:jc w:val="center"/>
              <w:rPr>
                <w:color w:val="4472C4" w:themeColor="accent1"/>
              </w:rPr>
            </w:pPr>
            <w:r w:rsidRPr="00093771">
              <w:rPr>
                <w:color w:val="4472C4" w:themeColor="accent1"/>
              </w:rPr>
              <w:t>Actions Taken &amp; Timescales</w:t>
            </w:r>
          </w:p>
        </w:tc>
        <w:tc>
          <w:tcPr>
            <w:tcW w:w="4127" w:type="dxa"/>
          </w:tcPr>
          <w:p w14:paraId="7DC31552" w14:textId="5D78721C" w:rsidR="00C0661B" w:rsidRPr="00093771" w:rsidRDefault="00C0661B" w:rsidP="00093771">
            <w:pPr>
              <w:jc w:val="center"/>
              <w:rPr>
                <w:color w:val="4472C4" w:themeColor="accent1"/>
              </w:rPr>
            </w:pPr>
            <w:r w:rsidRPr="00093771">
              <w:rPr>
                <w:color w:val="4472C4" w:themeColor="accent1"/>
              </w:rPr>
              <w:t>Impact</w:t>
            </w:r>
          </w:p>
        </w:tc>
      </w:tr>
      <w:tr w:rsidR="00707074" w14:paraId="3932A9D5" w14:textId="77777777" w:rsidTr="00707074">
        <w:tc>
          <w:tcPr>
            <w:tcW w:w="2291" w:type="dxa"/>
          </w:tcPr>
          <w:p w14:paraId="2540B44C" w14:textId="1A91F575" w:rsidR="00C0661B" w:rsidRDefault="00757613" w:rsidP="00A23B20">
            <w:r>
              <w:t xml:space="preserve">Dyslexia </w:t>
            </w:r>
          </w:p>
        </w:tc>
        <w:tc>
          <w:tcPr>
            <w:tcW w:w="3841" w:type="dxa"/>
          </w:tcPr>
          <w:p w14:paraId="3E51A113" w14:textId="0B260B97" w:rsidR="00C0661B" w:rsidRDefault="00C0661B" w:rsidP="00CA4769"/>
        </w:tc>
        <w:tc>
          <w:tcPr>
            <w:tcW w:w="4330" w:type="dxa"/>
          </w:tcPr>
          <w:p w14:paraId="6C824E5C" w14:textId="77777777" w:rsidR="00707074" w:rsidRDefault="00757613" w:rsidP="00A23B20">
            <w:r>
              <w:t xml:space="preserve">Ensure Sammy always wears his Irlens glasses in class </w:t>
            </w:r>
          </w:p>
          <w:p w14:paraId="0E0DDF30" w14:textId="77777777" w:rsidR="00757613" w:rsidRDefault="00757613" w:rsidP="00A23B20">
            <w:r>
              <w:t xml:space="preserve">Classroom follows the ‘Dyslexia friendly classroom’ protocols </w:t>
            </w:r>
          </w:p>
          <w:p w14:paraId="5C9D2B18" w14:textId="0F01F414" w:rsidR="00757613" w:rsidRDefault="00757613" w:rsidP="00A23B20">
            <w:r>
              <w:t xml:space="preserve">1:1 support as part of IEP for some activities where dyslexia is barrier to progress </w:t>
            </w:r>
          </w:p>
        </w:tc>
        <w:tc>
          <w:tcPr>
            <w:tcW w:w="4127" w:type="dxa"/>
          </w:tcPr>
          <w:p w14:paraId="148B25B7" w14:textId="54A4C8D9" w:rsidR="00CA4769" w:rsidRDefault="00CA4769" w:rsidP="00A23B20"/>
        </w:tc>
      </w:tr>
      <w:tr w:rsidR="00757613" w14:paraId="50D34E38" w14:textId="77777777" w:rsidTr="00707074">
        <w:tc>
          <w:tcPr>
            <w:tcW w:w="2291" w:type="dxa"/>
          </w:tcPr>
          <w:p w14:paraId="1E132B52" w14:textId="1EB5EEA1" w:rsidR="00757613" w:rsidRDefault="00757613" w:rsidP="00A23B20">
            <w:r>
              <w:t xml:space="preserve">Behavioural Challenges </w:t>
            </w:r>
          </w:p>
        </w:tc>
        <w:tc>
          <w:tcPr>
            <w:tcW w:w="3841" w:type="dxa"/>
          </w:tcPr>
          <w:p w14:paraId="2C182A07" w14:textId="77777777" w:rsidR="00757613" w:rsidRDefault="00757613" w:rsidP="00CA4769">
            <w:r>
              <w:t>Sammy has an ASD diagnosis but Ed Psych has reported that this also is likely to have links with Attachment disorder</w:t>
            </w:r>
          </w:p>
          <w:p w14:paraId="6071A421" w14:textId="3A95DF6F" w:rsidR="00757613" w:rsidRDefault="00757613" w:rsidP="00CA4769">
            <w:r>
              <w:t xml:space="preserve">For emotional wellbeing support Sammy has an identified ‘safe’ adult within the wellbeing team </w:t>
            </w:r>
          </w:p>
        </w:tc>
        <w:tc>
          <w:tcPr>
            <w:tcW w:w="4330" w:type="dxa"/>
          </w:tcPr>
          <w:p w14:paraId="1CFA0B25" w14:textId="558AD3C5" w:rsidR="00757613" w:rsidRDefault="00757613" w:rsidP="00A23B20">
            <w:r>
              <w:t xml:space="preserve">Preparation for learning time – 1:1 on arrival every day to go through visual timetable, discuss any issues </w:t>
            </w:r>
          </w:p>
          <w:p w14:paraId="49EB140B" w14:textId="77777777" w:rsidR="00757613" w:rsidRDefault="00757613" w:rsidP="00A23B20">
            <w:r>
              <w:t xml:space="preserve">Personalised reward system </w:t>
            </w:r>
          </w:p>
          <w:p w14:paraId="02B280CD" w14:textId="64BEA088" w:rsidR="00757613" w:rsidRDefault="00757613" w:rsidP="00A23B20">
            <w:r>
              <w:t xml:space="preserve">Regular breaks throughout the day to prevent Sammy becoming overwhelmed or frustrated </w:t>
            </w:r>
          </w:p>
        </w:tc>
        <w:tc>
          <w:tcPr>
            <w:tcW w:w="4127" w:type="dxa"/>
          </w:tcPr>
          <w:p w14:paraId="1503E0C9" w14:textId="11466CF8" w:rsidR="00757613" w:rsidRDefault="00E97CAB" w:rsidP="00A23B20">
            <w:r>
              <w:t xml:space="preserve">Sammy was previously at risk of exclusion but no longer has a PSP and incidents of disruptive behaviour and emotional outbursts have been significantly reduced </w:t>
            </w:r>
          </w:p>
        </w:tc>
      </w:tr>
      <w:tr w:rsidR="00E97CAB" w14:paraId="6E430A00" w14:textId="77777777" w:rsidTr="00707074">
        <w:tc>
          <w:tcPr>
            <w:tcW w:w="2291" w:type="dxa"/>
          </w:tcPr>
          <w:p w14:paraId="7DAA7281" w14:textId="1CE392B2" w:rsidR="00E97CAB" w:rsidRDefault="00E97CAB" w:rsidP="00A23B20">
            <w:r>
              <w:t xml:space="preserve">Unstructured Times </w:t>
            </w:r>
          </w:p>
        </w:tc>
        <w:tc>
          <w:tcPr>
            <w:tcW w:w="3841" w:type="dxa"/>
          </w:tcPr>
          <w:p w14:paraId="0EF7B3AE" w14:textId="77777777" w:rsidR="00E97CAB" w:rsidRDefault="00E97CAB" w:rsidP="00CA4769"/>
        </w:tc>
        <w:tc>
          <w:tcPr>
            <w:tcW w:w="4330" w:type="dxa"/>
          </w:tcPr>
          <w:p w14:paraId="4FB4D494" w14:textId="2FE21562" w:rsidR="00E97CAB" w:rsidRDefault="00E97CAB" w:rsidP="00A23B20">
            <w:r>
              <w:t xml:space="preserve">Access to the break and lunch club provision with structured play activities supervised by well-being team </w:t>
            </w:r>
          </w:p>
        </w:tc>
        <w:tc>
          <w:tcPr>
            <w:tcW w:w="4127" w:type="dxa"/>
          </w:tcPr>
          <w:p w14:paraId="674C1EB6" w14:textId="7EF7D3A1" w:rsidR="00E97CAB" w:rsidRDefault="00E97CAB" w:rsidP="00A23B20">
            <w:r>
              <w:t xml:space="preserve">This is now an optional choice for Sammy who often chooses to attend but also plays football more frequently with other boys as his emotional well-being and coping strategies have strengthened </w:t>
            </w:r>
          </w:p>
        </w:tc>
      </w:tr>
    </w:tbl>
    <w:p w14:paraId="0794BCC5" w14:textId="4537F6C0" w:rsidR="00C0661B" w:rsidRPr="00093771" w:rsidRDefault="00C0661B" w:rsidP="00093771">
      <w:pPr>
        <w:jc w:val="center"/>
        <w:rPr>
          <w:color w:val="4472C4" w:themeColor="accent1"/>
        </w:rPr>
      </w:pPr>
    </w:p>
    <w:tbl>
      <w:tblPr>
        <w:tblStyle w:val="TableGrid"/>
        <w:tblW w:w="14589" w:type="dxa"/>
        <w:tblLook w:val="04A0" w:firstRow="1" w:lastRow="0" w:firstColumn="1" w:lastColumn="0" w:noHBand="0" w:noVBand="1"/>
      </w:tblPr>
      <w:tblGrid>
        <w:gridCol w:w="2291"/>
        <w:gridCol w:w="3890"/>
        <w:gridCol w:w="4281"/>
        <w:gridCol w:w="4127"/>
      </w:tblGrid>
      <w:tr w:rsidR="00707074" w:rsidRPr="00093771" w14:paraId="4DFA50F9" w14:textId="77777777" w:rsidTr="00707074">
        <w:tc>
          <w:tcPr>
            <w:tcW w:w="2291" w:type="dxa"/>
            <w:shd w:val="clear" w:color="auto" w:fill="FFF2CC" w:themeFill="accent4" w:themeFillTint="33"/>
          </w:tcPr>
          <w:p w14:paraId="12C951EE" w14:textId="70BE7E1A" w:rsidR="00C0661B" w:rsidRPr="00093771" w:rsidRDefault="00C0661B" w:rsidP="00093771">
            <w:pPr>
              <w:jc w:val="center"/>
              <w:rPr>
                <w:color w:val="4472C4" w:themeColor="accent1"/>
              </w:rPr>
            </w:pPr>
            <w:r w:rsidRPr="00093771">
              <w:rPr>
                <w:color w:val="4472C4" w:themeColor="accent1"/>
              </w:rPr>
              <w:t>In class provision</w:t>
            </w:r>
            <w:r w:rsidRPr="00093771">
              <w:rPr>
                <w:color w:val="4472C4" w:themeColor="accent1"/>
              </w:rPr>
              <w:t>: Identified Barriers</w:t>
            </w:r>
          </w:p>
        </w:tc>
        <w:tc>
          <w:tcPr>
            <w:tcW w:w="3890" w:type="dxa"/>
          </w:tcPr>
          <w:p w14:paraId="5058E0E1" w14:textId="56F894CB" w:rsidR="00C0661B" w:rsidRPr="00093771" w:rsidRDefault="00C0661B" w:rsidP="00093771">
            <w:pPr>
              <w:jc w:val="center"/>
              <w:rPr>
                <w:color w:val="4472C4" w:themeColor="accent1"/>
              </w:rPr>
            </w:pPr>
            <w:r w:rsidRPr="00093771">
              <w:rPr>
                <w:color w:val="4472C4" w:themeColor="accent1"/>
              </w:rPr>
              <w:t>Observations and analysis of other information</w:t>
            </w:r>
          </w:p>
        </w:tc>
        <w:tc>
          <w:tcPr>
            <w:tcW w:w="4281" w:type="dxa"/>
          </w:tcPr>
          <w:p w14:paraId="7CB808FD" w14:textId="77777777" w:rsidR="00C0661B" w:rsidRPr="00093771" w:rsidRDefault="00C0661B" w:rsidP="00093771">
            <w:pPr>
              <w:jc w:val="center"/>
              <w:rPr>
                <w:color w:val="4472C4" w:themeColor="accent1"/>
              </w:rPr>
            </w:pPr>
            <w:r w:rsidRPr="00093771">
              <w:rPr>
                <w:color w:val="4472C4" w:themeColor="accent1"/>
              </w:rPr>
              <w:t>Actions Taken &amp; Timescales</w:t>
            </w:r>
          </w:p>
        </w:tc>
        <w:tc>
          <w:tcPr>
            <w:tcW w:w="4127" w:type="dxa"/>
          </w:tcPr>
          <w:p w14:paraId="3B3DD3FC" w14:textId="19711893" w:rsidR="00C0661B" w:rsidRPr="00093771" w:rsidRDefault="00C0661B" w:rsidP="00093771">
            <w:pPr>
              <w:jc w:val="center"/>
              <w:rPr>
                <w:color w:val="4472C4" w:themeColor="accent1"/>
              </w:rPr>
            </w:pPr>
            <w:r w:rsidRPr="00093771">
              <w:rPr>
                <w:color w:val="4472C4" w:themeColor="accent1"/>
              </w:rPr>
              <w:t>Impact</w:t>
            </w:r>
          </w:p>
        </w:tc>
      </w:tr>
      <w:tr w:rsidR="00882D0A" w14:paraId="79ABE0F0" w14:textId="77777777" w:rsidTr="00707074">
        <w:tc>
          <w:tcPr>
            <w:tcW w:w="2291" w:type="dxa"/>
          </w:tcPr>
          <w:p w14:paraId="170145EA" w14:textId="4D7304EE" w:rsidR="00C0661B" w:rsidRDefault="001D6EAD" w:rsidP="00A23B20">
            <w:r>
              <w:t xml:space="preserve">ASD, social communication difficulty </w:t>
            </w:r>
          </w:p>
        </w:tc>
        <w:tc>
          <w:tcPr>
            <w:tcW w:w="3890" w:type="dxa"/>
          </w:tcPr>
          <w:p w14:paraId="26E3D33D" w14:textId="258EEE8E" w:rsidR="00C0661B" w:rsidRDefault="001D6EAD" w:rsidP="00A23B20">
            <w:r>
              <w:t xml:space="preserve">Sammy can’t manage too many instructions; long periods of teacher talk and complex situations. This is true for a number of pupils with different needs and barriers within the class </w:t>
            </w:r>
          </w:p>
        </w:tc>
        <w:tc>
          <w:tcPr>
            <w:tcW w:w="4281" w:type="dxa"/>
          </w:tcPr>
          <w:p w14:paraId="7D408799" w14:textId="77777777" w:rsidR="008D1C3C" w:rsidRDefault="00D745D7" w:rsidP="00882D0A">
            <w:r>
              <w:t xml:space="preserve">Visual timetable (individual and class) </w:t>
            </w:r>
          </w:p>
          <w:p w14:paraId="58CCF7CD" w14:textId="77777777" w:rsidR="00D745D7" w:rsidRDefault="0062219E" w:rsidP="00882D0A">
            <w:r>
              <w:t xml:space="preserve">Short explanations given for activities </w:t>
            </w:r>
          </w:p>
          <w:p w14:paraId="473D9816" w14:textId="77777777" w:rsidR="0062219E" w:rsidRDefault="0062219E" w:rsidP="00882D0A">
            <w:r>
              <w:t xml:space="preserve">Reduced teacher talk </w:t>
            </w:r>
          </w:p>
          <w:p w14:paraId="0D2B8B9A" w14:textId="335D67C0" w:rsidR="0062219E" w:rsidRDefault="0062219E" w:rsidP="00882D0A">
            <w:r>
              <w:t xml:space="preserve">Clear timescales provided for activities </w:t>
            </w:r>
          </w:p>
        </w:tc>
        <w:tc>
          <w:tcPr>
            <w:tcW w:w="4127" w:type="dxa"/>
          </w:tcPr>
          <w:p w14:paraId="5A974E83" w14:textId="32DF8F8B" w:rsidR="00C0661B" w:rsidRDefault="001D6EAD" w:rsidP="00A23B20">
            <w:r>
              <w:t xml:space="preserve">Routines and systems are well established and typically Sammy is able to cope within the classroom setting </w:t>
            </w:r>
          </w:p>
        </w:tc>
      </w:tr>
      <w:tr w:rsidR="001F6CB9" w14:paraId="68346097" w14:textId="77777777" w:rsidTr="00707074">
        <w:tc>
          <w:tcPr>
            <w:tcW w:w="2291" w:type="dxa"/>
          </w:tcPr>
          <w:p w14:paraId="520AE604" w14:textId="076C1640" w:rsidR="001F6CB9" w:rsidRDefault="001D6EAD" w:rsidP="00A23B20">
            <w:r>
              <w:t xml:space="preserve">Working with others </w:t>
            </w:r>
          </w:p>
        </w:tc>
        <w:tc>
          <w:tcPr>
            <w:tcW w:w="3890" w:type="dxa"/>
          </w:tcPr>
          <w:p w14:paraId="0726F7DB" w14:textId="6A709A96" w:rsidR="001F6CB9" w:rsidRDefault="001D6EAD" w:rsidP="00A23B20">
            <w:r>
              <w:t xml:space="preserve">Group work remains a significant challenge for Sammy, he is unable to manage social interaction with more than one or two children </w:t>
            </w:r>
          </w:p>
        </w:tc>
        <w:tc>
          <w:tcPr>
            <w:tcW w:w="4281" w:type="dxa"/>
          </w:tcPr>
          <w:p w14:paraId="589E5251" w14:textId="65881DC8" w:rsidR="001F6CB9" w:rsidRDefault="001D6EAD" w:rsidP="00882D0A">
            <w:r>
              <w:t xml:space="preserve">Careful planning of who Sammy works with in different situations is critical. Paired work with good role-models is effective. </w:t>
            </w:r>
          </w:p>
          <w:p w14:paraId="7CFF3C36" w14:textId="263400D3" w:rsidR="001D6EAD" w:rsidRDefault="001D6EAD" w:rsidP="00882D0A">
            <w:r>
              <w:t xml:space="preserve">Peer to peer tutoring has worked well this year – pupils from parallel class </w:t>
            </w:r>
          </w:p>
        </w:tc>
        <w:tc>
          <w:tcPr>
            <w:tcW w:w="4127" w:type="dxa"/>
          </w:tcPr>
          <w:p w14:paraId="66B5D189" w14:textId="1D3A9F2D" w:rsidR="001F6CB9" w:rsidRDefault="001D6EAD" w:rsidP="00A23B20">
            <w:r>
              <w:t xml:space="preserve">In most lessons Sammy is now able to interact effectively with other pupils. There are certain individuals that he is not emotionally strong enough to manage currently and sometimes adult support to model the interaction is still required </w:t>
            </w:r>
          </w:p>
        </w:tc>
      </w:tr>
    </w:tbl>
    <w:p w14:paraId="04F053BE" w14:textId="4CC8C8B0" w:rsidR="00C0661B" w:rsidRDefault="00C0661B"/>
    <w:tbl>
      <w:tblPr>
        <w:tblStyle w:val="TableGrid"/>
        <w:tblW w:w="14589" w:type="dxa"/>
        <w:tblLook w:val="04A0" w:firstRow="1" w:lastRow="0" w:firstColumn="1" w:lastColumn="0" w:noHBand="0" w:noVBand="1"/>
      </w:tblPr>
      <w:tblGrid>
        <w:gridCol w:w="2291"/>
        <w:gridCol w:w="3983"/>
        <w:gridCol w:w="4188"/>
        <w:gridCol w:w="4127"/>
      </w:tblGrid>
      <w:tr w:rsidR="00882D0A" w14:paraId="2A521355" w14:textId="77777777" w:rsidTr="00707074">
        <w:tc>
          <w:tcPr>
            <w:tcW w:w="2291" w:type="dxa"/>
            <w:shd w:val="clear" w:color="auto" w:fill="E2EFD9" w:themeFill="accent6" w:themeFillTint="33"/>
          </w:tcPr>
          <w:p w14:paraId="495BD1AF" w14:textId="22C8774D" w:rsidR="00C0661B" w:rsidRPr="00093771" w:rsidRDefault="00C0661B" w:rsidP="00093771">
            <w:pPr>
              <w:jc w:val="center"/>
              <w:rPr>
                <w:color w:val="4472C4" w:themeColor="accent1"/>
              </w:rPr>
            </w:pPr>
            <w:r w:rsidRPr="00093771">
              <w:rPr>
                <w:color w:val="4472C4" w:themeColor="accent1"/>
              </w:rPr>
              <w:t>Interventions</w:t>
            </w:r>
            <w:r w:rsidRPr="00093771">
              <w:rPr>
                <w:color w:val="4472C4" w:themeColor="accent1"/>
              </w:rPr>
              <w:t>: Identified Barriers</w:t>
            </w:r>
          </w:p>
        </w:tc>
        <w:tc>
          <w:tcPr>
            <w:tcW w:w="3983" w:type="dxa"/>
          </w:tcPr>
          <w:p w14:paraId="6287FC97" w14:textId="7F958BC7" w:rsidR="00C0661B" w:rsidRPr="00093771" w:rsidRDefault="00C0661B" w:rsidP="00093771">
            <w:pPr>
              <w:jc w:val="center"/>
              <w:rPr>
                <w:color w:val="4472C4" w:themeColor="accent1"/>
              </w:rPr>
            </w:pPr>
            <w:r w:rsidRPr="00093771">
              <w:rPr>
                <w:color w:val="4472C4" w:themeColor="accent1"/>
              </w:rPr>
              <w:t>Observations and analysis of other information</w:t>
            </w:r>
          </w:p>
        </w:tc>
        <w:tc>
          <w:tcPr>
            <w:tcW w:w="4188" w:type="dxa"/>
          </w:tcPr>
          <w:p w14:paraId="15F21AC7" w14:textId="77777777" w:rsidR="00C0661B" w:rsidRPr="00093771" w:rsidRDefault="00C0661B" w:rsidP="00093771">
            <w:pPr>
              <w:jc w:val="center"/>
              <w:rPr>
                <w:color w:val="4472C4" w:themeColor="accent1"/>
              </w:rPr>
            </w:pPr>
            <w:r w:rsidRPr="00093771">
              <w:rPr>
                <w:color w:val="4472C4" w:themeColor="accent1"/>
              </w:rPr>
              <w:t>Actions Taken &amp; Timescales</w:t>
            </w:r>
          </w:p>
        </w:tc>
        <w:tc>
          <w:tcPr>
            <w:tcW w:w="4127" w:type="dxa"/>
          </w:tcPr>
          <w:p w14:paraId="03FA09AE" w14:textId="27204416" w:rsidR="00C0661B" w:rsidRPr="00093771" w:rsidRDefault="00C0661B" w:rsidP="00093771">
            <w:pPr>
              <w:jc w:val="center"/>
              <w:rPr>
                <w:color w:val="4472C4" w:themeColor="accent1"/>
              </w:rPr>
            </w:pPr>
            <w:r w:rsidRPr="00093771">
              <w:rPr>
                <w:color w:val="4472C4" w:themeColor="accent1"/>
              </w:rPr>
              <w:t>Impact</w:t>
            </w:r>
          </w:p>
        </w:tc>
      </w:tr>
      <w:tr w:rsidR="00882D0A" w14:paraId="4644AF79" w14:textId="77777777" w:rsidTr="00707074">
        <w:trPr>
          <w:trHeight w:val="272"/>
        </w:trPr>
        <w:tc>
          <w:tcPr>
            <w:tcW w:w="2291" w:type="dxa"/>
          </w:tcPr>
          <w:p w14:paraId="29BC636B" w14:textId="7ACE5F2D" w:rsidR="00C0661B" w:rsidRDefault="000D6FD1" w:rsidP="00A23B20">
            <w:r>
              <w:t xml:space="preserve">Individual Plan identifies specific interventions for dyslexia </w:t>
            </w:r>
          </w:p>
        </w:tc>
        <w:tc>
          <w:tcPr>
            <w:tcW w:w="3983" w:type="dxa"/>
          </w:tcPr>
          <w:p w14:paraId="3B3EDAE9" w14:textId="5E9CD234" w:rsidR="00E67BBB" w:rsidRDefault="00757613" w:rsidP="00A23B20">
            <w:r>
              <w:t>To support Sammy with Attachment issues and in readiness for transition, his interventions are carried out by different adults. All adults use the same approach and have had training on how best to support Sammy</w:t>
            </w:r>
          </w:p>
        </w:tc>
        <w:tc>
          <w:tcPr>
            <w:tcW w:w="4188" w:type="dxa"/>
          </w:tcPr>
          <w:p w14:paraId="556CAAF6" w14:textId="77777777" w:rsidR="00E67BBB" w:rsidRDefault="00757613" w:rsidP="00A23B20">
            <w:r>
              <w:t xml:space="preserve">Auditory Memory development program – 5 mins per day </w:t>
            </w:r>
          </w:p>
          <w:p w14:paraId="71F7F23E" w14:textId="77777777" w:rsidR="00757613" w:rsidRDefault="00757613" w:rsidP="00A23B20">
            <w:r>
              <w:t xml:space="preserve">1:1 reading – BRP </w:t>
            </w:r>
          </w:p>
          <w:p w14:paraId="4138FEFD" w14:textId="77777777" w:rsidR="00757613" w:rsidRDefault="00757613" w:rsidP="00A23B20"/>
          <w:p w14:paraId="7560EAB8" w14:textId="166D1629" w:rsidR="00757613" w:rsidRDefault="00757613" w:rsidP="00A23B20"/>
        </w:tc>
        <w:tc>
          <w:tcPr>
            <w:tcW w:w="4127" w:type="dxa"/>
          </w:tcPr>
          <w:p w14:paraId="22197906" w14:textId="64C4710D" w:rsidR="00E67BBB" w:rsidRDefault="00E67BBB" w:rsidP="00A23B20"/>
        </w:tc>
      </w:tr>
    </w:tbl>
    <w:p w14:paraId="3BF85583" w14:textId="5A9016B8" w:rsidR="00093771" w:rsidRDefault="00093771">
      <w:pPr>
        <w:rPr>
          <w:color w:val="4472C4" w:themeColor="accent1"/>
        </w:rPr>
      </w:pPr>
    </w:p>
    <w:p w14:paraId="6CF93F16" w14:textId="60910D91" w:rsidR="001D6EAD" w:rsidRPr="00093771" w:rsidRDefault="001D6EAD">
      <w:pPr>
        <w:rPr>
          <w:color w:val="4472C4" w:themeColor="accent1"/>
        </w:rPr>
      </w:pPr>
      <w:r>
        <w:rPr>
          <w:color w:val="4472C4" w:themeColor="accent1"/>
        </w:rPr>
        <w:t xml:space="preserve">From a Low Prior Attainment Group (Level 1 in all areas) Sammy will achieve Age Expected Expectations combined at the end of Year 6 </w:t>
      </w:r>
      <w:bookmarkStart w:id="0" w:name="_GoBack"/>
      <w:bookmarkEnd w:id="0"/>
    </w:p>
    <w:sectPr w:rsidR="001D6EAD" w:rsidRPr="00093771" w:rsidSect="00CA4769">
      <w:pgSz w:w="16840" w:h="11900" w:orient="landscape"/>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76257"/>
    <w:multiLevelType w:val="hybridMultilevel"/>
    <w:tmpl w:val="0406D22E"/>
    <w:lvl w:ilvl="0" w:tplc="C802AFFE">
      <w:start w:val="1"/>
      <w:numFmt w:val="bullet"/>
      <w:lvlText w:val="•"/>
      <w:lvlJc w:val="left"/>
      <w:pPr>
        <w:tabs>
          <w:tab w:val="num" w:pos="720"/>
        </w:tabs>
        <w:ind w:left="720" w:hanging="360"/>
      </w:pPr>
      <w:rPr>
        <w:rFonts w:ascii="Arial" w:hAnsi="Arial" w:hint="default"/>
      </w:rPr>
    </w:lvl>
    <w:lvl w:ilvl="1" w:tplc="25ACAB70" w:tentative="1">
      <w:start w:val="1"/>
      <w:numFmt w:val="bullet"/>
      <w:lvlText w:val="•"/>
      <w:lvlJc w:val="left"/>
      <w:pPr>
        <w:tabs>
          <w:tab w:val="num" w:pos="1440"/>
        </w:tabs>
        <w:ind w:left="1440" w:hanging="360"/>
      </w:pPr>
      <w:rPr>
        <w:rFonts w:ascii="Arial" w:hAnsi="Arial" w:hint="default"/>
      </w:rPr>
    </w:lvl>
    <w:lvl w:ilvl="2" w:tplc="7FB0025A" w:tentative="1">
      <w:start w:val="1"/>
      <w:numFmt w:val="bullet"/>
      <w:lvlText w:val="•"/>
      <w:lvlJc w:val="left"/>
      <w:pPr>
        <w:tabs>
          <w:tab w:val="num" w:pos="2160"/>
        </w:tabs>
        <w:ind w:left="2160" w:hanging="360"/>
      </w:pPr>
      <w:rPr>
        <w:rFonts w:ascii="Arial" w:hAnsi="Arial" w:hint="default"/>
      </w:rPr>
    </w:lvl>
    <w:lvl w:ilvl="3" w:tplc="8AD0DF88" w:tentative="1">
      <w:start w:val="1"/>
      <w:numFmt w:val="bullet"/>
      <w:lvlText w:val="•"/>
      <w:lvlJc w:val="left"/>
      <w:pPr>
        <w:tabs>
          <w:tab w:val="num" w:pos="2880"/>
        </w:tabs>
        <w:ind w:left="2880" w:hanging="360"/>
      </w:pPr>
      <w:rPr>
        <w:rFonts w:ascii="Arial" w:hAnsi="Arial" w:hint="default"/>
      </w:rPr>
    </w:lvl>
    <w:lvl w:ilvl="4" w:tplc="DF565FE0" w:tentative="1">
      <w:start w:val="1"/>
      <w:numFmt w:val="bullet"/>
      <w:lvlText w:val="•"/>
      <w:lvlJc w:val="left"/>
      <w:pPr>
        <w:tabs>
          <w:tab w:val="num" w:pos="3600"/>
        </w:tabs>
        <w:ind w:left="3600" w:hanging="360"/>
      </w:pPr>
      <w:rPr>
        <w:rFonts w:ascii="Arial" w:hAnsi="Arial" w:hint="default"/>
      </w:rPr>
    </w:lvl>
    <w:lvl w:ilvl="5" w:tplc="B022B71A" w:tentative="1">
      <w:start w:val="1"/>
      <w:numFmt w:val="bullet"/>
      <w:lvlText w:val="•"/>
      <w:lvlJc w:val="left"/>
      <w:pPr>
        <w:tabs>
          <w:tab w:val="num" w:pos="4320"/>
        </w:tabs>
        <w:ind w:left="4320" w:hanging="360"/>
      </w:pPr>
      <w:rPr>
        <w:rFonts w:ascii="Arial" w:hAnsi="Arial" w:hint="default"/>
      </w:rPr>
    </w:lvl>
    <w:lvl w:ilvl="6" w:tplc="0972ABF0" w:tentative="1">
      <w:start w:val="1"/>
      <w:numFmt w:val="bullet"/>
      <w:lvlText w:val="•"/>
      <w:lvlJc w:val="left"/>
      <w:pPr>
        <w:tabs>
          <w:tab w:val="num" w:pos="5040"/>
        </w:tabs>
        <w:ind w:left="5040" w:hanging="360"/>
      </w:pPr>
      <w:rPr>
        <w:rFonts w:ascii="Arial" w:hAnsi="Arial" w:hint="default"/>
      </w:rPr>
    </w:lvl>
    <w:lvl w:ilvl="7" w:tplc="8858FF6A" w:tentative="1">
      <w:start w:val="1"/>
      <w:numFmt w:val="bullet"/>
      <w:lvlText w:val="•"/>
      <w:lvlJc w:val="left"/>
      <w:pPr>
        <w:tabs>
          <w:tab w:val="num" w:pos="5760"/>
        </w:tabs>
        <w:ind w:left="5760" w:hanging="360"/>
      </w:pPr>
      <w:rPr>
        <w:rFonts w:ascii="Arial" w:hAnsi="Arial" w:hint="default"/>
      </w:rPr>
    </w:lvl>
    <w:lvl w:ilvl="8" w:tplc="30BC1C8E" w:tentative="1">
      <w:start w:val="1"/>
      <w:numFmt w:val="bullet"/>
      <w:lvlText w:val="•"/>
      <w:lvlJc w:val="left"/>
      <w:pPr>
        <w:tabs>
          <w:tab w:val="num" w:pos="6480"/>
        </w:tabs>
        <w:ind w:left="6480" w:hanging="360"/>
      </w:pPr>
      <w:rPr>
        <w:rFonts w:ascii="Arial" w:hAnsi="Arial" w:hint="default"/>
      </w:rPr>
    </w:lvl>
  </w:abstractNum>
  <w:abstractNum w:abstractNumId="1">
    <w:nsid w:val="365E6D31"/>
    <w:multiLevelType w:val="hybridMultilevel"/>
    <w:tmpl w:val="5B6E0F7C"/>
    <w:lvl w:ilvl="0" w:tplc="6054FD62">
      <w:start w:val="1"/>
      <w:numFmt w:val="bullet"/>
      <w:lvlText w:val="•"/>
      <w:lvlJc w:val="left"/>
      <w:pPr>
        <w:tabs>
          <w:tab w:val="num" w:pos="720"/>
        </w:tabs>
        <w:ind w:left="720" w:hanging="360"/>
      </w:pPr>
      <w:rPr>
        <w:rFonts w:ascii="Arial" w:hAnsi="Arial" w:hint="default"/>
      </w:rPr>
    </w:lvl>
    <w:lvl w:ilvl="1" w:tplc="63A4E11C" w:tentative="1">
      <w:start w:val="1"/>
      <w:numFmt w:val="bullet"/>
      <w:lvlText w:val="•"/>
      <w:lvlJc w:val="left"/>
      <w:pPr>
        <w:tabs>
          <w:tab w:val="num" w:pos="1440"/>
        </w:tabs>
        <w:ind w:left="1440" w:hanging="360"/>
      </w:pPr>
      <w:rPr>
        <w:rFonts w:ascii="Arial" w:hAnsi="Arial" w:hint="default"/>
      </w:rPr>
    </w:lvl>
    <w:lvl w:ilvl="2" w:tplc="A2A2B1F4" w:tentative="1">
      <w:start w:val="1"/>
      <w:numFmt w:val="bullet"/>
      <w:lvlText w:val="•"/>
      <w:lvlJc w:val="left"/>
      <w:pPr>
        <w:tabs>
          <w:tab w:val="num" w:pos="2160"/>
        </w:tabs>
        <w:ind w:left="2160" w:hanging="360"/>
      </w:pPr>
      <w:rPr>
        <w:rFonts w:ascii="Arial" w:hAnsi="Arial" w:hint="default"/>
      </w:rPr>
    </w:lvl>
    <w:lvl w:ilvl="3" w:tplc="5684996E" w:tentative="1">
      <w:start w:val="1"/>
      <w:numFmt w:val="bullet"/>
      <w:lvlText w:val="•"/>
      <w:lvlJc w:val="left"/>
      <w:pPr>
        <w:tabs>
          <w:tab w:val="num" w:pos="2880"/>
        </w:tabs>
        <w:ind w:left="2880" w:hanging="360"/>
      </w:pPr>
      <w:rPr>
        <w:rFonts w:ascii="Arial" w:hAnsi="Arial" w:hint="default"/>
      </w:rPr>
    </w:lvl>
    <w:lvl w:ilvl="4" w:tplc="BE60F20A" w:tentative="1">
      <w:start w:val="1"/>
      <w:numFmt w:val="bullet"/>
      <w:lvlText w:val="•"/>
      <w:lvlJc w:val="left"/>
      <w:pPr>
        <w:tabs>
          <w:tab w:val="num" w:pos="3600"/>
        </w:tabs>
        <w:ind w:left="3600" w:hanging="360"/>
      </w:pPr>
      <w:rPr>
        <w:rFonts w:ascii="Arial" w:hAnsi="Arial" w:hint="default"/>
      </w:rPr>
    </w:lvl>
    <w:lvl w:ilvl="5" w:tplc="FD3A54B0" w:tentative="1">
      <w:start w:val="1"/>
      <w:numFmt w:val="bullet"/>
      <w:lvlText w:val="•"/>
      <w:lvlJc w:val="left"/>
      <w:pPr>
        <w:tabs>
          <w:tab w:val="num" w:pos="4320"/>
        </w:tabs>
        <w:ind w:left="4320" w:hanging="360"/>
      </w:pPr>
      <w:rPr>
        <w:rFonts w:ascii="Arial" w:hAnsi="Arial" w:hint="default"/>
      </w:rPr>
    </w:lvl>
    <w:lvl w:ilvl="6" w:tplc="7B943FDA" w:tentative="1">
      <w:start w:val="1"/>
      <w:numFmt w:val="bullet"/>
      <w:lvlText w:val="•"/>
      <w:lvlJc w:val="left"/>
      <w:pPr>
        <w:tabs>
          <w:tab w:val="num" w:pos="5040"/>
        </w:tabs>
        <w:ind w:left="5040" w:hanging="360"/>
      </w:pPr>
      <w:rPr>
        <w:rFonts w:ascii="Arial" w:hAnsi="Arial" w:hint="default"/>
      </w:rPr>
    </w:lvl>
    <w:lvl w:ilvl="7" w:tplc="EE70C22C" w:tentative="1">
      <w:start w:val="1"/>
      <w:numFmt w:val="bullet"/>
      <w:lvlText w:val="•"/>
      <w:lvlJc w:val="left"/>
      <w:pPr>
        <w:tabs>
          <w:tab w:val="num" w:pos="5760"/>
        </w:tabs>
        <w:ind w:left="5760" w:hanging="360"/>
      </w:pPr>
      <w:rPr>
        <w:rFonts w:ascii="Arial" w:hAnsi="Arial" w:hint="default"/>
      </w:rPr>
    </w:lvl>
    <w:lvl w:ilvl="8" w:tplc="C3146B4C" w:tentative="1">
      <w:start w:val="1"/>
      <w:numFmt w:val="bullet"/>
      <w:lvlText w:val="•"/>
      <w:lvlJc w:val="left"/>
      <w:pPr>
        <w:tabs>
          <w:tab w:val="num" w:pos="6480"/>
        </w:tabs>
        <w:ind w:left="6480" w:hanging="360"/>
      </w:pPr>
      <w:rPr>
        <w:rFonts w:ascii="Arial" w:hAnsi="Arial" w:hint="default"/>
      </w:rPr>
    </w:lvl>
  </w:abstractNum>
  <w:abstractNum w:abstractNumId="2">
    <w:nsid w:val="48191BE5"/>
    <w:multiLevelType w:val="hybridMultilevel"/>
    <w:tmpl w:val="C45EBD5E"/>
    <w:lvl w:ilvl="0" w:tplc="31E8E6FC">
      <w:start w:val="1"/>
      <w:numFmt w:val="bullet"/>
      <w:lvlText w:val="•"/>
      <w:lvlJc w:val="left"/>
      <w:pPr>
        <w:tabs>
          <w:tab w:val="num" w:pos="720"/>
        </w:tabs>
        <w:ind w:left="720" w:hanging="360"/>
      </w:pPr>
      <w:rPr>
        <w:rFonts w:ascii="Arial" w:hAnsi="Arial" w:hint="default"/>
      </w:rPr>
    </w:lvl>
    <w:lvl w:ilvl="1" w:tplc="D638D0D4" w:tentative="1">
      <w:start w:val="1"/>
      <w:numFmt w:val="bullet"/>
      <w:lvlText w:val="•"/>
      <w:lvlJc w:val="left"/>
      <w:pPr>
        <w:tabs>
          <w:tab w:val="num" w:pos="1440"/>
        </w:tabs>
        <w:ind w:left="1440" w:hanging="360"/>
      </w:pPr>
      <w:rPr>
        <w:rFonts w:ascii="Arial" w:hAnsi="Arial" w:hint="default"/>
      </w:rPr>
    </w:lvl>
    <w:lvl w:ilvl="2" w:tplc="DD36DC1A" w:tentative="1">
      <w:start w:val="1"/>
      <w:numFmt w:val="bullet"/>
      <w:lvlText w:val="•"/>
      <w:lvlJc w:val="left"/>
      <w:pPr>
        <w:tabs>
          <w:tab w:val="num" w:pos="2160"/>
        </w:tabs>
        <w:ind w:left="2160" w:hanging="360"/>
      </w:pPr>
      <w:rPr>
        <w:rFonts w:ascii="Arial" w:hAnsi="Arial" w:hint="default"/>
      </w:rPr>
    </w:lvl>
    <w:lvl w:ilvl="3" w:tplc="911C6816" w:tentative="1">
      <w:start w:val="1"/>
      <w:numFmt w:val="bullet"/>
      <w:lvlText w:val="•"/>
      <w:lvlJc w:val="left"/>
      <w:pPr>
        <w:tabs>
          <w:tab w:val="num" w:pos="2880"/>
        </w:tabs>
        <w:ind w:left="2880" w:hanging="360"/>
      </w:pPr>
      <w:rPr>
        <w:rFonts w:ascii="Arial" w:hAnsi="Arial" w:hint="default"/>
      </w:rPr>
    </w:lvl>
    <w:lvl w:ilvl="4" w:tplc="6AACBE3A" w:tentative="1">
      <w:start w:val="1"/>
      <w:numFmt w:val="bullet"/>
      <w:lvlText w:val="•"/>
      <w:lvlJc w:val="left"/>
      <w:pPr>
        <w:tabs>
          <w:tab w:val="num" w:pos="3600"/>
        </w:tabs>
        <w:ind w:left="3600" w:hanging="360"/>
      </w:pPr>
      <w:rPr>
        <w:rFonts w:ascii="Arial" w:hAnsi="Arial" w:hint="default"/>
      </w:rPr>
    </w:lvl>
    <w:lvl w:ilvl="5" w:tplc="32A8A75C" w:tentative="1">
      <w:start w:val="1"/>
      <w:numFmt w:val="bullet"/>
      <w:lvlText w:val="•"/>
      <w:lvlJc w:val="left"/>
      <w:pPr>
        <w:tabs>
          <w:tab w:val="num" w:pos="4320"/>
        </w:tabs>
        <w:ind w:left="4320" w:hanging="360"/>
      </w:pPr>
      <w:rPr>
        <w:rFonts w:ascii="Arial" w:hAnsi="Arial" w:hint="default"/>
      </w:rPr>
    </w:lvl>
    <w:lvl w:ilvl="6" w:tplc="EF36B294" w:tentative="1">
      <w:start w:val="1"/>
      <w:numFmt w:val="bullet"/>
      <w:lvlText w:val="•"/>
      <w:lvlJc w:val="left"/>
      <w:pPr>
        <w:tabs>
          <w:tab w:val="num" w:pos="5040"/>
        </w:tabs>
        <w:ind w:left="5040" w:hanging="360"/>
      </w:pPr>
      <w:rPr>
        <w:rFonts w:ascii="Arial" w:hAnsi="Arial" w:hint="default"/>
      </w:rPr>
    </w:lvl>
    <w:lvl w:ilvl="7" w:tplc="5B068E9E" w:tentative="1">
      <w:start w:val="1"/>
      <w:numFmt w:val="bullet"/>
      <w:lvlText w:val="•"/>
      <w:lvlJc w:val="left"/>
      <w:pPr>
        <w:tabs>
          <w:tab w:val="num" w:pos="5760"/>
        </w:tabs>
        <w:ind w:left="5760" w:hanging="360"/>
      </w:pPr>
      <w:rPr>
        <w:rFonts w:ascii="Arial" w:hAnsi="Arial" w:hint="default"/>
      </w:rPr>
    </w:lvl>
    <w:lvl w:ilvl="8" w:tplc="AF14286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97"/>
    <w:rsid w:val="00093771"/>
    <w:rsid w:val="000D6FD1"/>
    <w:rsid w:val="0017477D"/>
    <w:rsid w:val="001D6EAD"/>
    <w:rsid w:val="001F6CB9"/>
    <w:rsid w:val="002460BF"/>
    <w:rsid w:val="002F581E"/>
    <w:rsid w:val="003C380A"/>
    <w:rsid w:val="00437597"/>
    <w:rsid w:val="00496DD0"/>
    <w:rsid w:val="005D28F2"/>
    <w:rsid w:val="0062219E"/>
    <w:rsid w:val="006271EE"/>
    <w:rsid w:val="00707074"/>
    <w:rsid w:val="00757613"/>
    <w:rsid w:val="00882D0A"/>
    <w:rsid w:val="00886440"/>
    <w:rsid w:val="008A7F82"/>
    <w:rsid w:val="008D1C3C"/>
    <w:rsid w:val="008D3845"/>
    <w:rsid w:val="0091274B"/>
    <w:rsid w:val="00926F3E"/>
    <w:rsid w:val="0095766E"/>
    <w:rsid w:val="00A63D80"/>
    <w:rsid w:val="00AD06BE"/>
    <w:rsid w:val="00AE05F8"/>
    <w:rsid w:val="00AF7DC6"/>
    <w:rsid w:val="00C0661B"/>
    <w:rsid w:val="00C51A93"/>
    <w:rsid w:val="00CA4769"/>
    <w:rsid w:val="00D745D7"/>
    <w:rsid w:val="00E1048D"/>
    <w:rsid w:val="00E67BBB"/>
    <w:rsid w:val="00E97CAB"/>
    <w:rsid w:val="00EB5FBC"/>
    <w:rsid w:val="00F373ED"/>
    <w:rsid w:val="00F710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1384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3D80"/>
    <w:rPr>
      <w:lang w:val="en-GB"/>
    </w:rPr>
  </w:style>
  <w:style w:type="paragraph" w:styleId="Heading1">
    <w:name w:val="heading 1"/>
    <w:basedOn w:val="Normal"/>
    <w:next w:val="Normal"/>
    <w:link w:val="Heading1Char"/>
    <w:uiPriority w:val="9"/>
    <w:qFormat/>
    <w:rsid w:val="004375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59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375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463764">
      <w:bodyDiv w:val="1"/>
      <w:marLeft w:val="0"/>
      <w:marRight w:val="0"/>
      <w:marTop w:val="0"/>
      <w:marBottom w:val="0"/>
      <w:divBdr>
        <w:top w:val="none" w:sz="0" w:space="0" w:color="auto"/>
        <w:left w:val="none" w:sz="0" w:space="0" w:color="auto"/>
        <w:bottom w:val="none" w:sz="0" w:space="0" w:color="auto"/>
        <w:right w:val="none" w:sz="0" w:space="0" w:color="auto"/>
      </w:divBdr>
      <w:divsChild>
        <w:div w:id="1629429081">
          <w:marLeft w:val="360"/>
          <w:marRight w:val="0"/>
          <w:marTop w:val="0"/>
          <w:marBottom w:val="0"/>
          <w:divBdr>
            <w:top w:val="none" w:sz="0" w:space="0" w:color="auto"/>
            <w:left w:val="none" w:sz="0" w:space="0" w:color="auto"/>
            <w:bottom w:val="none" w:sz="0" w:space="0" w:color="auto"/>
            <w:right w:val="none" w:sz="0" w:space="0" w:color="auto"/>
          </w:divBdr>
        </w:div>
        <w:div w:id="445393059">
          <w:marLeft w:val="360"/>
          <w:marRight w:val="0"/>
          <w:marTop w:val="0"/>
          <w:marBottom w:val="0"/>
          <w:divBdr>
            <w:top w:val="none" w:sz="0" w:space="0" w:color="auto"/>
            <w:left w:val="none" w:sz="0" w:space="0" w:color="auto"/>
            <w:bottom w:val="none" w:sz="0" w:space="0" w:color="auto"/>
            <w:right w:val="none" w:sz="0" w:space="0" w:color="auto"/>
          </w:divBdr>
        </w:div>
        <w:div w:id="982779792">
          <w:marLeft w:val="360"/>
          <w:marRight w:val="0"/>
          <w:marTop w:val="0"/>
          <w:marBottom w:val="0"/>
          <w:divBdr>
            <w:top w:val="none" w:sz="0" w:space="0" w:color="auto"/>
            <w:left w:val="none" w:sz="0" w:space="0" w:color="auto"/>
            <w:bottom w:val="none" w:sz="0" w:space="0" w:color="auto"/>
            <w:right w:val="none" w:sz="0" w:space="0" w:color="auto"/>
          </w:divBdr>
        </w:div>
        <w:div w:id="1899171969">
          <w:marLeft w:val="360"/>
          <w:marRight w:val="0"/>
          <w:marTop w:val="0"/>
          <w:marBottom w:val="0"/>
          <w:divBdr>
            <w:top w:val="none" w:sz="0" w:space="0" w:color="auto"/>
            <w:left w:val="none" w:sz="0" w:space="0" w:color="auto"/>
            <w:bottom w:val="none" w:sz="0" w:space="0" w:color="auto"/>
            <w:right w:val="none" w:sz="0" w:space="0" w:color="auto"/>
          </w:divBdr>
        </w:div>
        <w:div w:id="351496971">
          <w:marLeft w:val="360"/>
          <w:marRight w:val="0"/>
          <w:marTop w:val="0"/>
          <w:marBottom w:val="0"/>
          <w:divBdr>
            <w:top w:val="none" w:sz="0" w:space="0" w:color="auto"/>
            <w:left w:val="none" w:sz="0" w:space="0" w:color="auto"/>
            <w:bottom w:val="none" w:sz="0" w:space="0" w:color="auto"/>
            <w:right w:val="none" w:sz="0" w:space="0" w:color="auto"/>
          </w:divBdr>
        </w:div>
        <w:div w:id="1143159520">
          <w:marLeft w:val="360"/>
          <w:marRight w:val="0"/>
          <w:marTop w:val="0"/>
          <w:marBottom w:val="0"/>
          <w:divBdr>
            <w:top w:val="none" w:sz="0" w:space="0" w:color="auto"/>
            <w:left w:val="none" w:sz="0" w:space="0" w:color="auto"/>
            <w:bottom w:val="none" w:sz="0" w:space="0" w:color="auto"/>
            <w:right w:val="none" w:sz="0" w:space="0" w:color="auto"/>
          </w:divBdr>
        </w:div>
      </w:divsChild>
    </w:div>
    <w:div w:id="1447189888">
      <w:bodyDiv w:val="1"/>
      <w:marLeft w:val="0"/>
      <w:marRight w:val="0"/>
      <w:marTop w:val="0"/>
      <w:marBottom w:val="0"/>
      <w:divBdr>
        <w:top w:val="none" w:sz="0" w:space="0" w:color="auto"/>
        <w:left w:val="none" w:sz="0" w:space="0" w:color="auto"/>
        <w:bottom w:val="none" w:sz="0" w:space="0" w:color="auto"/>
        <w:right w:val="none" w:sz="0" w:space="0" w:color="auto"/>
      </w:divBdr>
      <w:divsChild>
        <w:div w:id="463425914">
          <w:marLeft w:val="360"/>
          <w:marRight w:val="0"/>
          <w:marTop w:val="0"/>
          <w:marBottom w:val="0"/>
          <w:divBdr>
            <w:top w:val="none" w:sz="0" w:space="0" w:color="auto"/>
            <w:left w:val="none" w:sz="0" w:space="0" w:color="auto"/>
            <w:bottom w:val="none" w:sz="0" w:space="0" w:color="auto"/>
            <w:right w:val="none" w:sz="0" w:space="0" w:color="auto"/>
          </w:divBdr>
        </w:div>
        <w:div w:id="1966111615">
          <w:marLeft w:val="360"/>
          <w:marRight w:val="0"/>
          <w:marTop w:val="0"/>
          <w:marBottom w:val="0"/>
          <w:divBdr>
            <w:top w:val="none" w:sz="0" w:space="0" w:color="auto"/>
            <w:left w:val="none" w:sz="0" w:space="0" w:color="auto"/>
            <w:bottom w:val="none" w:sz="0" w:space="0" w:color="auto"/>
            <w:right w:val="none" w:sz="0" w:space="0" w:color="auto"/>
          </w:divBdr>
        </w:div>
        <w:div w:id="594679150">
          <w:marLeft w:val="360"/>
          <w:marRight w:val="0"/>
          <w:marTop w:val="0"/>
          <w:marBottom w:val="0"/>
          <w:divBdr>
            <w:top w:val="none" w:sz="0" w:space="0" w:color="auto"/>
            <w:left w:val="none" w:sz="0" w:space="0" w:color="auto"/>
            <w:bottom w:val="none" w:sz="0" w:space="0" w:color="auto"/>
            <w:right w:val="none" w:sz="0" w:space="0" w:color="auto"/>
          </w:divBdr>
        </w:div>
        <w:div w:id="2042976490">
          <w:marLeft w:val="360"/>
          <w:marRight w:val="0"/>
          <w:marTop w:val="0"/>
          <w:marBottom w:val="0"/>
          <w:divBdr>
            <w:top w:val="none" w:sz="0" w:space="0" w:color="auto"/>
            <w:left w:val="none" w:sz="0" w:space="0" w:color="auto"/>
            <w:bottom w:val="none" w:sz="0" w:space="0" w:color="auto"/>
            <w:right w:val="none" w:sz="0" w:space="0" w:color="auto"/>
          </w:divBdr>
        </w:div>
        <w:div w:id="1440951304">
          <w:marLeft w:val="360"/>
          <w:marRight w:val="0"/>
          <w:marTop w:val="0"/>
          <w:marBottom w:val="0"/>
          <w:divBdr>
            <w:top w:val="none" w:sz="0" w:space="0" w:color="auto"/>
            <w:left w:val="none" w:sz="0" w:space="0" w:color="auto"/>
            <w:bottom w:val="none" w:sz="0" w:space="0" w:color="auto"/>
            <w:right w:val="none" w:sz="0" w:space="0" w:color="auto"/>
          </w:divBdr>
        </w:div>
      </w:divsChild>
    </w:div>
    <w:div w:id="1920093708">
      <w:bodyDiv w:val="1"/>
      <w:marLeft w:val="0"/>
      <w:marRight w:val="0"/>
      <w:marTop w:val="0"/>
      <w:marBottom w:val="0"/>
      <w:divBdr>
        <w:top w:val="none" w:sz="0" w:space="0" w:color="auto"/>
        <w:left w:val="none" w:sz="0" w:space="0" w:color="auto"/>
        <w:bottom w:val="none" w:sz="0" w:space="0" w:color="auto"/>
        <w:right w:val="none" w:sz="0" w:space="0" w:color="auto"/>
      </w:divBdr>
      <w:divsChild>
        <w:div w:id="1313561479">
          <w:marLeft w:val="360"/>
          <w:marRight w:val="0"/>
          <w:marTop w:val="0"/>
          <w:marBottom w:val="0"/>
          <w:divBdr>
            <w:top w:val="none" w:sz="0" w:space="0" w:color="auto"/>
            <w:left w:val="none" w:sz="0" w:space="0" w:color="auto"/>
            <w:bottom w:val="none" w:sz="0" w:space="0" w:color="auto"/>
            <w:right w:val="none" w:sz="0" w:space="0" w:color="auto"/>
          </w:divBdr>
        </w:div>
        <w:div w:id="2010787205">
          <w:marLeft w:val="360"/>
          <w:marRight w:val="0"/>
          <w:marTop w:val="0"/>
          <w:marBottom w:val="0"/>
          <w:divBdr>
            <w:top w:val="none" w:sz="0" w:space="0" w:color="auto"/>
            <w:left w:val="none" w:sz="0" w:space="0" w:color="auto"/>
            <w:bottom w:val="none" w:sz="0" w:space="0" w:color="auto"/>
            <w:right w:val="none" w:sz="0" w:space="0" w:color="auto"/>
          </w:divBdr>
        </w:div>
        <w:div w:id="1601257776">
          <w:marLeft w:val="360"/>
          <w:marRight w:val="0"/>
          <w:marTop w:val="0"/>
          <w:marBottom w:val="0"/>
          <w:divBdr>
            <w:top w:val="none" w:sz="0" w:space="0" w:color="auto"/>
            <w:left w:val="none" w:sz="0" w:space="0" w:color="auto"/>
            <w:bottom w:val="none" w:sz="0" w:space="0" w:color="auto"/>
            <w:right w:val="none" w:sz="0" w:space="0" w:color="auto"/>
          </w:divBdr>
        </w:div>
        <w:div w:id="1892380308">
          <w:marLeft w:val="360"/>
          <w:marRight w:val="0"/>
          <w:marTop w:val="0"/>
          <w:marBottom w:val="0"/>
          <w:divBdr>
            <w:top w:val="none" w:sz="0" w:space="0" w:color="auto"/>
            <w:left w:val="none" w:sz="0" w:space="0" w:color="auto"/>
            <w:bottom w:val="none" w:sz="0" w:space="0" w:color="auto"/>
            <w:right w:val="none" w:sz="0" w:space="0" w:color="auto"/>
          </w:divBdr>
        </w:div>
        <w:div w:id="1064598421">
          <w:marLeft w:val="360"/>
          <w:marRight w:val="0"/>
          <w:marTop w:val="0"/>
          <w:marBottom w:val="0"/>
          <w:divBdr>
            <w:top w:val="none" w:sz="0" w:space="0" w:color="auto"/>
            <w:left w:val="none" w:sz="0" w:space="0" w:color="auto"/>
            <w:bottom w:val="none" w:sz="0" w:space="0" w:color="auto"/>
            <w:right w:val="none" w:sz="0" w:space="0" w:color="auto"/>
          </w:divBdr>
        </w:div>
        <w:div w:id="296423997">
          <w:marLeft w:val="360"/>
          <w:marRight w:val="0"/>
          <w:marTop w:val="0"/>
          <w:marBottom w:val="0"/>
          <w:divBdr>
            <w:top w:val="none" w:sz="0" w:space="0" w:color="auto"/>
            <w:left w:val="none" w:sz="0" w:space="0" w:color="auto"/>
            <w:bottom w:val="none" w:sz="0" w:space="0" w:color="auto"/>
            <w:right w:val="none" w:sz="0" w:space="0" w:color="auto"/>
          </w:divBdr>
        </w:div>
        <w:div w:id="1254701754">
          <w:marLeft w:val="360"/>
          <w:marRight w:val="0"/>
          <w:marTop w:val="0"/>
          <w:marBottom w:val="0"/>
          <w:divBdr>
            <w:top w:val="none" w:sz="0" w:space="0" w:color="auto"/>
            <w:left w:val="none" w:sz="0" w:space="0" w:color="auto"/>
            <w:bottom w:val="none" w:sz="0" w:space="0" w:color="auto"/>
            <w:right w:val="none" w:sz="0" w:space="0" w:color="auto"/>
          </w:divBdr>
        </w:div>
        <w:div w:id="795828247">
          <w:marLeft w:val="360"/>
          <w:marRight w:val="0"/>
          <w:marTop w:val="0"/>
          <w:marBottom w:val="0"/>
          <w:divBdr>
            <w:top w:val="none" w:sz="0" w:space="0" w:color="auto"/>
            <w:left w:val="none" w:sz="0" w:space="0" w:color="auto"/>
            <w:bottom w:val="none" w:sz="0" w:space="0" w:color="auto"/>
            <w:right w:val="none" w:sz="0" w:space="0" w:color="auto"/>
          </w:divBdr>
        </w:div>
        <w:div w:id="438841881">
          <w:marLeft w:val="36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747</Words>
  <Characters>4263</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Disadvantaged Pupil Case Study</vt:lpstr>
    </vt:vector>
  </TitlesOfParts>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2017-06-11T07:25:00Z</dcterms:created>
  <dcterms:modified xsi:type="dcterms:W3CDTF">2017-06-11T08:01:00Z</dcterms:modified>
</cp:coreProperties>
</file>