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711DE" w14:textId="2D1D522B" w:rsidR="00AC03CC" w:rsidRDefault="007E40FC" w:rsidP="00AC03CC">
      <w:pPr>
        <w:jc w:val="both"/>
        <w:rPr>
          <w:rFonts w:ascii="Arial" w:hAnsi="Arial" w:cs="Arial"/>
          <w:sz w:val="24"/>
          <w:szCs w:val="24"/>
        </w:rPr>
      </w:pPr>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58E607E6" wp14:editId="08699605">
                <wp:simplePos x="0" y="0"/>
                <wp:positionH relativeFrom="column">
                  <wp:posOffset>-215596</wp:posOffset>
                </wp:positionH>
                <wp:positionV relativeFrom="paragraph">
                  <wp:posOffset>-532848</wp:posOffset>
                </wp:positionV>
                <wp:extent cx="6524625" cy="1058545"/>
                <wp:effectExtent l="0" t="0" r="28575" b="2730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058545"/>
                        </a:xfrm>
                        <a:prstGeom prst="roundRect">
                          <a:avLst>
                            <a:gd name="adj" fmla="val 16667"/>
                          </a:avLst>
                        </a:prstGeom>
                        <a:solidFill>
                          <a:srgbClr val="7CA9D6"/>
                        </a:solidFill>
                        <a:ln w="9525">
                          <a:solidFill>
                            <a:srgbClr val="C0C0C0"/>
                          </a:solidFill>
                          <a:round/>
                          <a:headEnd/>
                          <a:tailEnd/>
                        </a:ln>
                      </wps:spPr>
                      <wps:txbx>
                        <w:txbxContent>
                          <w:p w14:paraId="644797B9" w14:textId="6DDAF2D4" w:rsidR="007E40FC" w:rsidRDefault="007E40FC" w:rsidP="007E40FC">
                            <w:pPr>
                              <w:spacing w:after="0" w:line="240" w:lineRule="auto"/>
                              <w:rPr>
                                <w:rFonts w:ascii="Arial" w:hAnsi="Arial" w:cs="Arial"/>
                                <w:b/>
                                <w:color w:val="000000"/>
                                <w:sz w:val="28"/>
                              </w:rPr>
                            </w:pPr>
                            <w:r>
                              <w:rPr>
                                <w:rFonts w:ascii="Arial" w:hAnsi="Arial" w:cs="Arial"/>
                                <w:b/>
                                <w:noProof/>
                                <w:color w:val="000000"/>
                                <w:sz w:val="28"/>
                                <w:lang w:eastAsia="en-GB"/>
                              </w:rPr>
                              <w:drawing>
                                <wp:inline distT="0" distB="0" distL="0" distR="0" wp14:anchorId="17C785DF" wp14:editId="1B159FBD">
                                  <wp:extent cx="4246245" cy="80327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6245" cy="803275"/>
                                          </a:xfrm>
                                          <a:prstGeom prst="rect">
                                            <a:avLst/>
                                          </a:prstGeom>
                                          <a:noFill/>
                                          <a:ln>
                                            <a:noFill/>
                                          </a:ln>
                                        </pic:spPr>
                                      </pic:pic>
                                    </a:graphicData>
                                  </a:graphic>
                                </wp:inline>
                              </w:drawing>
                            </w:r>
                            <w:r>
                              <w:rPr>
                                <w:noProof/>
                                <w:lang w:eastAsia="en-GB"/>
                              </w:rPr>
                              <w:drawing>
                                <wp:inline distT="0" distB="0" distL="0" distR="0" wp14:anchorId="03A29C44" wp14:editId="105189BD">
                                  <wp:extent cx="1232191" cy="84283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2535" cy="843075"/>
                                          </a:xfrm>
                                          <a:prstGeom prst="rect">
                                            <a:avLst/>
                                          </a:prstGeom>
                                          <a:noFill/>
                                          <a:ln>
                                            <a:noFill/>
                                          </a:ln>
                                        </pic:spPr>
                                      </pic:pic>
                                    </a:graphicData>
                                  </a:graphic>
                                </wp:inline>
                              </w:drawing>
                            </w:r>
                          </w:p>
                          <w:p w14:paraId="23622D1E" w14:textId="2CF7BBBA" w:rsidR="007E40FC" w:rsidRDefault="007E40FC" w:rsidP="007E40F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left:0;text-align:left;margin-left:-17pt;margin-top:-41.95pt;width:513.75pt;height:8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gcOwIAAHQEAAAOAAAAZHJzL2Uyb0RvYy54bWysVFFv0zAQfkfiP1h+p2mqJl2jpdPUMoQ0&#10;YNrgB7i20xgcn7HdpuXX7+xkowPEA0KVrLvc3efvuzv38urYaXKQziswNc0nU0qk4SCU2dX0y+eb&#10;NxeU+MCMYBqMrOlJenq1ev3qsreVnEELWkhHEMT4qrc1bUOwVZZ53sqO+QlYaTDYgOtYQNftMuFY&#10;j+idzmbTaZn14IR1wKX3+HUzBOkq4TeN5OFT03gZiK4pcgvpdOncxjNbXbJq55htFR9psH9g0TFl&#10;8NJnqA0LjOyd+g2qU9yBhyZMOHQZNI3iMmlANfn0FzUPLbMyacHmePvcJv//YPnHw50jStS0oMSw&#10;Dkd0D3sjpCD32DxmdlqSIrapt77C7Ad756JQb2+Bf/PEwLrFLHntHPStZALJ5TE/e1EQHY+lZNt/&#10;AIG3sH2A1LFj47oIiL0gxzSY0/Ng5DEQjh/LYjYvZ8iQYyyfFhfFPHHKWPVUbp0P7yR0JBo1dVFE&#10;VJDuYIdbH9J4xCiSia+UNJ3GYR+YJnlZlovEmlVjMmI/YSa9oJW4UVonx+22a+0IltZ0sb5ebsqx&#10;2J+naUP6mi4LZP53iPU0/v4EkXSkJY29fWtEsgNTerCRpTZjs2N/hzmF4/Y4jmwL4oRtdzCsPj5V&#10;NFpwPyjpce1r6r/vmZOU6PcGR7fM5/P4TpIzLxYzdNx5ZHseYYYjVE0DJYO5DsPb2lundi3elCfl&#10;Bq5x3I0KT3sxsBp542qj9eLtnPsp6+efxeoRAAD//wMAUEsDBBQABgAIAAAAIQCfxHOF4wAAAAoB&#10;AAAPAAAAZHJzL2Rvd25yZXYueG1sTI/BTsMwEETvSPyDtUjcWocmrZIQp6oQFVyooCAQt228TSLi&#10;dYjdNv17zAlus5rR7JtiOZpOHGlwrWUFN9MIBHFldcu1grfX9SQF4Tyyxs4yKTiTg2V5eVFgru2J&#10;X+i49bUIJexyVNB43+dSuqohg25qe+Lg7e1g0IdzqKUe8BTKTSdnUbSQBlsOHxrs6a6h6mt7MAqG&#10;cY3vyfN59fjt7zfJ4ulhP//8UOr6alzdgvA0+r8w/OIHdCgD084eWDvRKZjESdjig0jjDERIZFk8&#10;B7FTkM5SkGUh/08ofwAAAP//AwBQSwECLQAUAAYACAAAACEAtoM4kv4AAADhAQAAEwAAAAAAAAAA&#10;AAAAAAAAAAAAW0NvbnRlbnRfVHlwZXNdLnhtbFBLAQItABQABgAIAAAAIQA4/SH/1gAAAJQBAAAL&#10;AAAAAAAAAAAAAAAAAC8BAABfcmVscy8ucmVsc1BLAQItABQABgAIAAAAIQDtQigcOwIAAHQEAAAO&#10;AAAAAAAAAAAAAAAAAC4CAABkcnMvZTJvRG9jLnhtbFBLAQItABQABgAIAAAAIQCfxHOF4wAAAAoB&#10;AAAPAAAAAAAAAAAAAAAAAJUEAABkcnMvZG93bnJldi54bWxQSwUGAAAAAAQABADzAAAApQUAAAAA&#10;" fillcolor="#7ca9d6" strokecolor="silver">
                <v:textbox>
                  <w:txbxContent>
                    <w:p w14:paraId="644797B9" w14:textId="6DDAF2D4" w:rsidR="007E40FC" w:rsidRDefault="007E40FC" w:rsidP="007E40FC">
                      <w:pPr>
                        <w:spacing w:after="0" w:line="240" w:lineRule="auto"/>
                        <w:rPr>
                          <w:rFonts w:ascii="Arial" w:hAnsi="Arial" w:cs="Arial"/>
                          <w:b/>
                          <w:color w:val="000000"/>
                          <w:sz w:val="28"/>
                        </w:rPr>
                      </w:pPr>
                      <w:r>
                        <w:rPr>
                          <w:rFonts w:ascii="Arial" w:hAnsi="Arial" w:cs="Arial"/>
                          <w:b/>
                          <w:noProof/>
                          <w:color w:val="000000"/>
                          <w:sz w:val="28"/>
                          <w:lang w:eastAsia="en-GB"/>
                        </w:rPr>
                        <w:drawing>
                          <wp:inline distT="0" distB="0" distL="0" distR="0" wp14:anchorId="17C785DF" wp14:editId="1B159FBD">
                            <wp:extent cx="4246245" cy="80327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6245" cy="803275"/>
                                    </a:xfrm>
                                    <a:prstGeom prst="rect">
                                      <a:avLst/>
                                    </a:prstGeom>
                                    <a:noFill/>
                                    <a:ln>
                                      <a:noFill/>
                                    </a:ln>
                                  </pic:spPr>
                                </pic:pic>
                              </a:graphicData>
                            </a:graphic>
                          </wp:inline>
                        </w:drawing>
                      </w:r>
                      <w:r>
                        <w:rPr>
                          <w:noProof/>
                          <w:lang w:eastAsia="en-GB"/>
                        </w:rPr>
                        <w:drawing>
                          <wp:inline distT="0" distB="0" distL="0" distR="0" wp14:anchorId="03A29C44" wp14:editId="105189BD">
                            <wp:extent cx="1232191" cy="84283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2535" cy="843075"/>
                                    </a:xfrm>
                                    <a:prstGeom prst="rect">
                                      <a:avLst/>
                                    </a:prstGeom>
                                    <a:noFill/>
                                    <a:ln>
                                      <a:noFill/>
                                    </a:ln>
                                  </pic:spPr>
                                </pic:pic>
                              </a:graphicData>
                            </a:graphic>
                          </wp:inline>
                        </w:drawing>
                      </w:r>
                    </w:p>
                    <w:p w14:paraId="23622D1E" w14:textId="2CF7BBBA" w:rsidR="007E40FC" w:rsidRDefault="007E40FC" w:rsidP="007E40FC">
                      <w:pPr>
                        <w:jc w:val="right"/>
                      </w:pPr>
                    </w:p>
                  </w:txbxContent>
                </v:textbox>
              </v:roundrect>
            </w:pict>
          </mc:Fallback>
        </mc:AlternateContent>
      </w:r>
    </w:p>
    <w:p w14:paraId="1B355D19" w14:textId="77777777" w:rsidR="00AC03CC" w:rsidRDefault="00AC03CC" w:rsidP="00AC03CC">
      <w:pPr>
        <w:jc w:val="both"/>
        <w:rPr>
          <w:rFonts w:ascii="Arial" w:hAnsi="Arial" w:cs="Arial"/>
          <w:sz w:val="24"/>
          <w:szCs w:val="24"/>
        </w:rPr>
      </w:pPr>
    </w:p>
    <w:p w14:paraId="70954C6A" w14:textId="43FBEE76" w:rsidR="00AC03CC" w:rsidRDefault="00AC03CC" w:rsidP="00AC03CC">
      <w:pPr>
        <w:jc w:val="both"/>
        <w:rPr>
          <w:rFonts w:ascii="Arial" w:hAnsi="Arial" w:cs="Arial"/>
          <w:sz w:val="24"/>
          <w:szCs w:val="24"/>
        </w:rPr>
      </w:pPr>
      <w:r>
        <w:rPr>
          <w:rFonts w:ascii="Arial" w:hAnsi="Arial" w:cs="Arial"/>
          <w:sz w:val="24"/>
          <w:szCs w:val="24"/>
        </w:rPr>
        <w:t>Overpayments can happen for a number of reasons, the most common of which is the late notification o</w:t>
      </w:r>
      <w:r w:rsidRPr="0023639F">
        <w:rPr>
          <w:rFonts w:ascii="Arial" w:hAnsi="Arial" w:cs="Arial"/>
          <w:sz w:val="24"/>
          <w:szCs w:val="24"/>
        </w:rPr>
        <w:t xml:space="preserve">f </w:t>
      </w:r>
      <w:r>
        <w:rPr>
          <w:rFonts w:ascii="Arial" w:hAnsi="Arial" w:cs="Arial"/>
          <w:sz w:val="24"/>
          <w:szCs w:val="24"/>
        </w:rPr>
        <w:t xml:space="preserve">leaver details and </w:t>
      </w:r>
      <w:r w:rsidRPr="0023639F">
        <w:rPr>
          <w:rFonts w:ascii="Arial" w:hAnsi="Arial" w:cs="Arial"/>
          <w:sz w:val="24"/>
          <w:szCs w:val="24"/>
        </w:rPr>
        <w:t>contractual</w:t>
      </w:r>
      <w:r>
        <w:rPr>
          <w:rFonts w:ascii="Arial" w:hAnsi="Arial" w:cs="Arial"/>
          <w:sz w:val="24"/>
          <w:szCs w:val="24"/>
        </w:rPr>
        <w:t xml:space="preserve"> changes to Employee Services. Irrespective of the reason for the overpayment however, any pay received by an employee which they are not entitled to receive must be returned.</w:t>
      </w:r>
    </w:p>
    <w:p w14:paraId="2AA1708D" w14:textId="77777777" w:rsidR="00AC03CC" w:rsidRDefault="00AC03CC" w:rsidP="00AC03CC">
      <w:pPr>
        <w:jc w:val="both"/>
        <w:rPr>
          <w:rFonts w:ascii="Arial" w:hAnsi="Arial"/>
          <w:bCs/>
          <w:iCs/>
          <w:sz w:val="24"/>
          <w:szCs w:val="24"/>
        </w:rPr>
      </w:pPr>
      <w:r>
        <w:rPr>
          <w:rFonts w:ascii="Arial" w:hAnsi="Arial"/>
          <w:bCs/>
          <w:iCs/>
          <w:sz w:val="24"/>
          <w:szCs w:val="24"/>
        </w:rPr>
        <w:t xml:space="preserve">In accordance with </w:t>
      </w:r>
      <w:r w:rsidRPr="00B22B0D">
        <w:rPr>
          <w:rFonts w:ascii="Arial" w:hAnsi="Arial" w:cs="Arial"/>
          <w:sz w:val="24"/>
          <w:szCs w:val="24"/>
        </w:rPr>
        <w:t>KCC Anti-Fraud and Corruption Strateg</w:t>
      </w:r>
      <w:r>
        <w:rPr>
          <w:rFonts w:ascii="Arial" w:hAnsi="Arial" w:cs="Arial"/>
          <w:sz w:val="24"/>
          <w:szCs w:val="24"/>
        </w:rPr>
        <w:t>y</w:t>
      </w:r>
      <w:r>
        <w:rPr>
          <w:rFonts w:ascii="Arial" w:hAnsi="Arial"/>
          <w:bCs/>
          <w:iCs/>
          <w:sz w:val="24"/>
          <w:szCs w:val="24"/>
        </w:rPr>
        <w:t xml:space="preserve">, we are required to report to KCC </w:t>
      </w:r>
      <w:r w:rsidRPr="00B22B0D">
        <w:rPr>
          <w:rFonts w:ascii="Arial" w:hAnsi="Arial" w:cs="Arial"/>
          <w:sz w:val="24"/>
          <w:szCs w:val="24"/>
        </w:rPr>
        <w:t>Internal Audit team</w:t>
      </w:r>
      <w:r>
        <w:rPr>
          <w:rFonts w:ascii="Arial" w:hAnsi="Arial" w:cs="Arial"/>
          <w:sz w:val="24"/>
          <w:szCs w:val="24"/>
        </w:rPr>
        <w:t xml:space="preserve"> for investigation,</w:t>
      </w:r>
      <w:r>
        <w:rPr>
          <w:rFonts w:ascii="Arial" w:hAnsi="Arial"/>
          <w:bCs/>
          <w:iCs/>
          <w:sz w:val="24"/>
          <w:szCs w:val="24"/>
        </w:rPr>
        <w:t xml:space="preserve"> any overpayments where the employee has continued to receive pay they were not entitled to, and made no effort to report the matter to their Manager or Employee Services. </w:t>
      </w:r>
    </w:p>
    <w:p w14:paraId="0E67963C" w14:textId="77777777" w:rsidR="00AC03CC" w:rsidRDefault="00AC03CC" w:rsidP="00AC03CC">
      <w:pPr>
        <w:jc w:val="both"/>
        <w:rPr>
          <w:rFonts w:ascii="Arial" w:hAnsi="Arial" w:cs="Arial"/>
          <w:sz w:val="24"/>
          <w:szCs w:val="24"/>
        </w:rPr>
      </w:pPr>
      <w:r>
        <w:rPr>
          <w:rFonts w:ascii="Arial" w:hAnsi="Arial" w:cs="Arial"/>
          <w:sz w:val="24"/>
          <w:szCs w:val="24"/>
        </w:rPr>
        <w:t>Robust payroll report checking can help to identify overpayments at an early stage, in addition employees are equally responsible for checking their payslips and reporting any incorrect payments without delay.</w:t>
      </w:r>
    </w:p>
    <w:p w14:paraId="36FB3A70" w14:textId="77777777" w:rsidR="00AC03CC" w:rsidRDefault="00AC03CC" w:rsidP="00AC03CC">
      <w:pPr>
        <w:jc w:val="both"/>
        <w:rPr>
          <w:rFonts w:ascii="Arial" w:hAnsi="Arial" w:cs="Arial"/>
          <w:sz w:val="24"/>
          <w:szCs w:val="24"/>
        </w:rPr>
      </w:pPr>
      <w:r>
        <w:rPr>
          <w:rFonts w:ascii="Arial" w:hAnsi="Arial" w:cs="Arial"/>
          <w:sz w:val="24"/>
          <w:szCs w:val="24"/>
        </w:rPr>
        <w:t xml:space="preserve">Once an overpayment has been identified, steps are taken to ensure that it is not repeated, which means correcting the payroll record so that it continues to pay correctly going forward. </w:t>
      </w:r>
    </w:p>
    <w:p w14:paraId="5EFDAED5" w14:textId="77777777" w:rsidR="00AC03CC" w:rsidRDefault="00AC03CC" w:rsidP="00AC03CC">
      <w:pPr>
        <w:jc w:val="both"/>
        <w:rPr>
          <w:rFonts w:ascii="Arial" w:hAnsi="Arial"/>
          <w:bCs/>
          <w:iCs/>
          <w:sz w:val="24"/>
          <w:szCs w:val="24"/>
        </w:rPr>
      </w:pPr>
      <w:r>
        <w:rPr>
          <w:rFonts w:ascii="Arial" w:hAnsi="Arial" w:cs="Arial"/>
          <w:sz w:val="24"/>
          <w:szCs w:val="24"/>
        </w:rPr>
        <w:t xml:space="preserve">If possible the overpaid amount will be recovered from the following months’ pay. If however the overpayment exceeds more than 10% of the net pay, </w:t>
      </w:r>
      <w:r w:rsidRPr="002D46C1">
        <w:rPr>
          <w:rFonts w:ascii="Arial" w:hAnsi="Arial"/>
          <w:bCs/>
          <w:iCs/>
          <w:sz w:val="24"/>
          <w:szCs w:val="24"/>
        </w:rPr>
        <w:t>or if there will be insufficient funds to reclaim it from the next pay period, steps will be taken to arrange a repayment plan</w:t>
      </w:r>
      <w:r>
        <w:rPr>
          <w:rFonts w:ascii="Arial" w:hAnsi="Arial"/>
          <w:bCs/>
          <w:iCs/>
          <w:sz w:val="24"/>
          <w:szCs w:val="24"/>
        </w:rPr>
        <w:t xml:space="preserve"> </w:t>
      </w:r>
      <w:r w:rsidRPr="002D46C1">
        <w:rPr>
          <w:rFonts w:ascii="Arial" w:hAnsi="Arial"/>
          <w:bCs/>
          <w:iCs/>
          <w:sz w:val="24"/>
          <w:szCs w:val="24"/>
        </w:rPr>
        <w:t xml:space="preserve">to ensure that the full value of the overpayment is </w:t>
      </w:r>
      <w:r>
        <w:rPr>
          <w:rFonts w:ascii="Arial" w:hAnsi="Arial"/>
          <w:bCs/>
          <w:iCs/>
          <w:sz w:val="24"/>
          <w:szCs w:val="24"/>
        </w:rPr>
        <w:t>recovered over a reasonable period.</w:t>
      </w:r>
    </w:p>
    <w:p w14:paraId="4528FA8B" w14:textId="77777777" w:rsidR="00AC03CC" w:rsidRDefault="00AC03CC" w:rsidP="00AC03CC">
      <w:pPr>
        <w:jc w:val="both"/>
        <w:rPr>
          <w:rFonts w:ascii="Arial" w:hAnsi="Arial"/>
          <w:bCs/>
          <w:iCs/>
          <w:sz w:val="24"/>
          <w:szCs w:val="24"/>
        </w:rPr>
      </w:pPr>
      <w:r>
        <w:rPr>
          <w:rFonts w:ascii="Arial" w:hAnsi="Arial"/>
          <w:bCs/>
          <w:iCs/>
          <w:sz w:val="24"/>
          <w:szCs w:val="24"/>
        </w:rPr>
        <w:t>In the event that a monthly repayment plan is put in place, and there is an outstanding balance remaining at the point an employee leaves our employment, this will be fully recovered from the final pay.</w:t>
      </w:r>
    </w:p>
    <w:p w14:paraId="5020862E" w14:textId="77777777" w:rsidR="00AC03CC" w:rsidRDefault="00AC03CC" w:rsidP="00AC03CC">
      <w:pPr>
        <w:jc w:val="both"/>
        <w:rPr>
          <w:rFonts w:ascii="Arial" w:hAnsi="Arial"/>
          <w:bCs/>
          <w:iCs/>
          <w:sz w:val="24"/>
          <w:szCs w:val="24"/>
        </w:rPr>
      </w:pPr>
      <w:r>
        <w:rPr>
          <w:rFonts w:ascii="Arial" w:hAnsi="Arial"/>
          <w:bCs/>
          <w:iCs/>
          <w:sz w:val="24"/>
          <w:szCs w:val="24"/>
        </w:rPr>
        <w:t xml:space="preserve">Should an overpayment be identified to an employee who has already left us, we will make every effort to allow the amount to be repaid directly to the payroll department, however where this has not been possible the debt will be passed to the Debt Recovery Team to pursue. This means that once the invoice has been raised, the Debt Recovery Officers will be in contact either by telephone or by a home visit, and the matter could ultimately result in an application to the Small Claims Court. </w:t>
      </w:r>
    </w:p>
    <w:p w14:paraId="0AC86AD5" w14:textId="77777777" w:rsidR="00AC03CC" w:rsidRDefault="00AC03CC" w:rsidP="00AC03CC">
      <w:pPr>
        <w:rPr>
          <w:rFonts w:ascii="Arial" w:hAnsi="Arial" w:cs="Arial"/>
          <w:bCs/>
          <w:iCs/>
          <w:sz w:val="24"/>
          <w:szCs w:val="24"/>
        </w:rPr>
      </w:pPr>
      <w:r w:rsidRPr="002719EC">
        <w:rPr>
          <w:rFonts w:ascii="Arial" w:hAnsi="Arial" w:cs="Arial"/>
          <w:sz w:val="24"/>
          <w:szCs w:val="24"/>
        </w:rPr>
        <w:t xml:space="preserve">For more information contact HR Connect: </w:t>
      </w:r>
      <w:r>
        <w:rPr>
          <w:rFonts w:ascii="Arial" w:hAnsi="Arial" w:cs="Arial"/>
          <w:sz w:val="24"/>
          <w:szCs w:val="24"/>
        </w:rPr>
        <w:t xml:space="preserve">03000 411110  / 7200 411110 </w:t>
      </w:r>
      <w:r w:rsidRPr="002719EC">
        <w:rPr>
          <w:rFonts w:ascii="Arial" w:hAnsi="Arial" w:cs="Arial"/>
          <w:sz w:val="24"/>
          <w:szCs w:val="24"/>
        </w:rPr>
        <w:t xml:space="preserve">or Email: </w:t>
      </w:r>
      <w:hyperlink r:id="rId12" w:history="1">
        <w:r w:rsidRPr="002719EC">
          <w:rPr>
            <w:rStyle w:val="Hyperlink"/>
            <w:rFonts w:ascii="Arial" w:hAnsi="Arial" w:cs="Arial"/>
            <w:sz w:val="24"/>
            <w:szCs w:val="24"/>
          </w:rPr>
          <w:t>HRConnect@kent.gov.uk</w:t>
        </w:r>
      </w:hyperlink>
      <w:r w:rsidRPr="002719EC">
        <w:rPr>
          <w:rFonts w:ascii="Arial" w:hAnsi="Arial" w:cs="Arial"/>
          <w:sz w:val="24"/>
          <w:szCs w:val="24"/>
        </w:rPr>
        <w:t xml:space="preserve"> </w:t>
      </w:r>
      <w:r w:rsidRPr="002D46C1">
        <w:rPr>
          <w:rFonts w:ascii="Arial" w:hAnsi="Arial" w:cs="Arial"/>
          <w:bCs/>
          <w:iCs/>
          <w:sz w:val="24"/>
          <w:szCs w:val="24"/>
        </w:rPr>
        <w:t xml:space="preserve"> </w:t>
      </w:r>
    </w:p>
    <w:p w14:paraId="06DFEFE1" w14:textId="77777777" w:rsidR="00DC3627" w:rsidRDefault="00DC3627"/>
    <w:sectPr w:rsidR="00DC36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8D"/>
    <w:rsid w:val="000C3155"/>
    <w:rsid w:val="00401FC3"/>
    <w:rsid w:val="007E40FC"/>
    <w:rsid w:val="00A84D41"/>
    <w:rsid w:val="00AC03CC"/>
    <w:rsid w:val="00C25845"/>
    <w:rsid w:val="00CD158D"/>
    <w:rsid w:val="00DC3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FC"/>
    <w:pPr>
      <w:spacing w:after="200" w:line="276"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58D"/>
    <w:rPr>
      <w:color w:val="0000FF" w:themeColor="hyperlink"/>
      <w:u w:val="single"/>
    </w:rPr>
  </w:style>
  <w:style w:type="paragraph" w:styleId="BalloonText">
    <w:name w:val="Balloon Text"/>
    <w:basedOn w:val="Normal"/>
    <w:link w:val="BalloonTextChar"/>
    <w:uiPriority w:val="99"/>
    <w:semiHidden/>
    <w:unhideWhenUsed/>
    <w:rsid w:val="007E4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0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FC"/>
    <w:pPr>
      <w:spacing w:after="200" w:line="276"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58D"/>
    <w:rPr>
      <w:color w:val="0000FF" w:themeColor="hyperlink"/>
      <w:u w:val="single"/>
    </w:rPr>
  </w:style>
  <w:style w:type="paragraph" w:styleId="BalloonText">
    <w:name w:val="Balloon Text"/>
    <w:basedOn w:val="Normal"/>
    <w:link w:val="BalloonTextChar"/>
    <w:uiPriority w:val="99"/>
    <w:semiHidden/>
    <w:unhideWhenUsed/>
    <w:rsid w:val="007E4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0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HRConnect@kent.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607a442-3a8b-46cb-8183-2bec4a9e324b">HDA2S5J67HAM-227-37</_dlc_DocId>
    <_dlc_DocIdUrl xmlns="b607a442-3a8b-46cb-8183-2bec4a9e324b">
      <Url>http://knet/ourcouncil/Pay-and-benefits/_layouts/DocIdRedir.aspx?ID=HDA2S5J67HAM-227-37</Url>
      <Description>HDA2S5J67HAM-227-37</Description>
    </_dlc_DocIdUrl>
  </documentManagement>
</p:properties>
</file>

<file path=customXml/item2.xml><?xml version="1.0" encoding="utf-8"?>
<?mso-contentType ?>
<SharedContentType xmlns="Microsoft.SharePoint.Taxonomy.ContentTypeSync" SourceId="ca912827-bae3-40cb-8146-7920e969c222"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926D231562844CA1087B0989DB1091" ma:contentTypeVersion="2" ma:contentTypeDescription="Create a new document." ma:contentTypeScope="" ma:versionID="b2d8f36057f12e5a07c0598c7092260b">
  <xsd:schema xmlns:xsd="http://www.w3.org/2001/XMLSchema" xmlns:xs="http://www.w3.org/2001/XMLSchema" xmlns:p="http://schemas.microsoft.com/office/2006/metadata/properties" xmlns:ns1="http://schemas.microsoft.com/sharepoint/v3" xmlns:ns2="b607a442-3a8b-46cb-8183-2bec4a9e324b" targetNamespace="http://schemas.microsoft.com/office/2006/metadata/properties" ma:root="true" ma:fieldsID="d8003e8de4eabcb4323d1391d00cca42" ns1:_="" ns2:_="">
    <xsd:import namespace="http://schemas.microsoft.com/sharepoint/v3"/>
    <xsd:import namespace="b607a442-3a8b-46cb-8183-2bec4a9e324b"/>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07a442-3a8b-46cb-8183-2bec4a9e32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2FA05-5765-45FA-90EA-D480796D6F2E}">
  <ds:schemaRefs>
    <ds:schemaRef ds:uri="http://purl.org/dc/dcmitype/"/>
    <ds:schemaRef ds:uri="http://schemas.microsoft.com/sharepoint/v3"/>
    <ds:schemaRef ds:uri="http://schemas.openxmlformats.org/package/2006/metadata/core-propertie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b607a442-3a8b-46cb-8183-2bec4a9e324b"/>
  </ds:schemaRefs>
</ds:datastoreItem>
</file>

<file path=customXml/itemProps2.xml><?xml version="1.0" encoding="utf-8"?>
<ds:datastoreItem xmlns:ds="http://schemas.openxmlformats.org/officeDocument/2006/customXml" ds:itemID="{AB3CE266-B1E3-4FDB-A99C-EF8F61A6855E}">
  <ds:schemaRefs>
    <ds:schemaRef ds:uri="Microsoft.SharePoint.Taxonomy.ContentTypeSync"/>
  </ds:schemaRefs>
</ds:datastoreItem>
</file>

<file path=customXml/itemProps3.xml><?xml version="1.0" encoding="utf-8"?>
<ds:datastoreItem xmlns:ds="http://schemas.openxmlformats.org/officeDocument/2006/customXml" ds:itemID="{A997A13E-CA91-4109-9FDD-88ED15BAB1DB}">
  <ds:schemaRefs>
    <ds:schemaRef ds:uri="http://schemas.microsoft.com/sharepoint/events"/>
  </ds:schemaRefs>
</ds:datastoreItem>
</file>

<file path=customXml/itemProps4.xml><?xml version="1.0" encoding="utf-8"?>
<ds:datastoreItem xmlns:ds="http://schemas.openxmlformats.org/officeDocument/2006/customXml" ds:itemID="{FFD70FF0-F289-4BA5-88A2-521CF95EDFA1}">
  <ds:schemaRefs>
    <ds:schemaRef ds:uri="http://schemas.microsoft.com/sharepoint/v3/contenttype/forms"/>
  </ds:schemaRefs>
</ds:datastoreItem>
</file>

<file path=customXml/itemProps5.xml><?xml version="1.0" encoding="utf-8"?>
<ds:datastoreItem xmlns:ds="http://schemas.openxmlformats.org/officeDocument/2006/customXml" ds:itemID="{DD915881-8121-4A12-B376-A98221682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07a442-3a8b-46cb-8183-2bec4a9e3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D24E2E27</Template>
  <TotalTime>0</TotalTime>
  <Pages>1</Pages>
  <Words>331</Words>
  <Characters>1889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Overpayment Procedure</vt:lpstr>
    </vt:vector>
  </TitlesOfParts>
  <Company>Kent County Council</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Overpayment Procedure</dc:title>
  <dc:creator>Lewis, Ann - BSS HR</dc:creator>
  <cp:lastModifiedBy>Abbott, Gaynor - ST EODD</cp:lastModifiedBy>
  <cp:revision>2</cp:revision>
  <dcterms:created xsi:type="dcterms:W3CDTF">2017-07-11T13:37:00Z</dcterms:created>
  <dcterms:modified xsi:type="dcterms:W3CDTF">2017-07-11T13:37:00Z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0x01010027926D231562844CA1087B0989DB1091</vt:lpwstr>
  </property>
  <property fmtid="{D5CDD505-2E9C-101B-9397-08002B2CF9AE}" pid="3" name="_dlc_DocIdItemGuid">
    <vt:lpwstr>8694aadc-1452-43c7-81be-eebeffb8c722</vt:lpwstr>
  </property>
</Properties>
</file>