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81B" w14:textId="7FE2EC07" w:rsidR="00437597" w:rsidRPr="00CA4769" w:rsidRDefault="00437597" w:rsidP="00CA4769">
      <w:pPr>
        <w:pStyle w:val="Heading1"/>
      </w:pPr>
      <w:r>
        <w:t xml:space="preserve">Disadvantaged Pupil </w:t>
      </w:r>
      <w:r w:rsidRPr="00B61629">
        <w:t>Case Study</w:t>
      </w:r>
    </w:p>
    <w:p w14:paraId="2763C4BD" w14:textId="77777777" w:rsidR="00437597" w:rsidRPr="00B61629" w:rsidRDefault="00437597" w:rsidP="004375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1E0" w:firstRow="1" w:lastRow="1" w:firstColumn="1" w:lastColumn="1" w:noHBand="0" w:noVBand="0"/>
      </w:tblPr>
      <w:tblGrid>
        <w:gridCol w:w="5210"/>
        <w:gridCol w:w="5210"/>
      </w:tblGrid>
      <w:tr w:rsidR="00437597" w:rsidRPr="00B61629" w14:paraId="1175B3E8" w14:textId="77777777" w:rsidTr="001C0874">
        <w:tc>
          <w:tcPr>
            <w:tcW w:w="5210" w:type="dxa"/>
            <w:shd w:val="clear" w:color="auto" w:fill="D9E2F3" w:themeFill="accent1" w:themeFillTint="33"/>
          </w:tcPr>
          <w:p w14:paraId="397F5197" w14:textId="0644EF87" w:rsidR="00437597" w:rsidRPr="00B61629" w:rsidRDefault="00437597" w:rsidP="001C0874">
            <w:pPr>
              <w:rPr>
                <w:b/>
              </w:rPr>
            </w:pPr>
            <w:r w:rsidRPr="00B61629">
              <w:rPr>
                <w:b/>
              </w:rPr>
              <w:t xml:space="preserve">Vulnerable </w:t>
            </w:r>
            <w:proofErr w:type="spellStart"/>
            <w:r w:rsidRPr="00B61629">
              <w:rPr>
                <w:b/>
              </w:rPr>
              <w:t>Group(s</w:t>
            </w:r>
            <w:proofErr w:type="spellEnd"/>
            <w:r w:rsidRPr="00B61629">
              <w:rPr>
                <w:b/>
              </w:rPr>
              <w:t>):</w:t>
            </w:r>
            <w:r>
              <w:rPr>
                <w:b/>
              </w:rPr>
              <w:t xml:space="preserve"> </w:t>
            </w:r>
            <w:r w:rsidR="00A63D80">
              <w:rPr>
                <w:b/>
              </w:rPr>
              <w:t xml:space="preserve">PP, </w:t>
            </w:r>
            <w:r w:rsidR="006B1D4E">
              <w:rPr>
                <w:b/>
              </w:rPr>
              <w:t>SEMH</w:t>
            </w:r>
          </w:p>
          <w:p w14:paraId="6469E568" w14:textId="77777777" w:rsidR="00437597" w:rsidRPr="00B61629" w:rsidRDefault="00437597" w:rsidP="001C0874"/>
        </w:tc>
        <w:tc>
          <w:tcPr>
            <w:tcW w:w="5210" w:type="dxa"/>
            <w:shd w:val="clear" w:color="auto" w:fill="D9E2F3" w:themeFill="accent1" w:themeFillTint="33"/>
          </w:tcPr>
          <w:p w14:paraId="4D92BD51" w14:textId="78EFD4A7" w:rsidR="00437597" w:rsidRPr="00B61629" w:rsidRDefault="00437597" w:rsidP="00A63D80">
            <w:r w:rsidRPr="00B61629">
              <w:rPr>
                <w:b/>
              </w:rPr>
              <w:t xml:space="preserve">Academic Year: </w:t>
            </w:r>
            <w:r w:rsidR="006B1D4E">
              <w:rPr>
                <w:b/>
              </w:rPr>
              <w:t>Year 5</w:t>
            </w:r>
            <w:r w:rsidR="00A63D80">
              <w:rPr>
                <w:b/>
              </w:rPr>
              <w:t xml:space="preserve"> </w:t>
            </w:r>
          </w:p>
        </w:tc>
      </w:tr>
      <w:tr w:rsidR="00437597" w:rsidRPr="00B61629" w14:paraId="1A92CCD3" w14:textId="77777777" w:rsidTr="001C0874">
        <w:tc>
          <w:tcPr>
            <w:tcW w:w="5210" w:type="dxa"/>
            <w:shd w:val="clear" w:color="auto" w:fill="D9E2F3" w:themeFill="accent1" w:themeFillTint="33"/>
          </w:tcPr>
          <w:p w14:paraId="6B8378D6" w14:textId="72C6C909" w:rsidR="00437597" w:rsidRPr="00B61629" w:rsidRDefault="00CA4769" w:rsidP="001C0874">
            <w:pPr>
              <w:rPr>
                <w:b/>
              </w:rPr>
            </w:pPr>
            <w:r>
              <w:rPr>
                <w:b/>
              </w:rPr>
              <w:t xml:space="preserve">  </w:t>
            </w:r>
            <w:r w:rsidR="00437597" w:rsidRPr="00B61629">
              <w:rPr>
                <w:b/>
              </w:rPr>
              <w:t>Pupil Name:</w:t>
            </w:r>
            <w:r w:rsidR="00437597">
              <w:rPr>
                <w:b/>
              </w:rPr>
              <w:t xml:space="preserve"> </w:t>
            </w:r>
            <w:r w:rsidR="006B1D4E">
              <w:rPr>
                <w:b/>
              </w:rPr>
              <w:t>Frank</w:t>
            </w:r>
          </w:p>
          <w:p w14:paraId="2DBF945E" w14:textId="77777777" w:rsidR="00437597" w:rsidRPr="00B61629" w:rsidRDefault="00437597" w:rsidP="001C0874"/>
        </w:tc>
        <w:tc>
          <w:tcPr>
            <w:tcW w:w="5210" w:type="dxa"/>
            <w:shd w:val="clear" w:color="auto" w:fill="D9E2F3" w:themeFill="accent1" w:themeFillTint="33"/>
          </w:tcPr>
          <w:p w14:paraId="29AB9FE9" w14:textId="4AAB963E" w:rsidR="00437597" w:rsidRPr="00B61629" w:rsidRDefault="00437597" w:rsidP="001C0874">
            <w:pPr>
              <w:rPr>
                <w:b/>
              </w:rPr>
            </w:pPr>
            <w:r w:rsidRPr="00B61629">
              <w:rPr>
                <w:b/>
              </w:rPr>
              <w:t>Class:</w:t>
            </w:r>
            <w:r>
              <w:rPr>
                <w:b/>
              </w:rPr>
              <w:t xml:space="preserve"> </w:t>
            </w:r>
            <w:r w:rsidR="006B1D4E">
              <w:rPr>
                <w:b/>
              </w:rPr>
              <w:t xml:space="preserve">Chaucer </w:t>
            </w:r>
          </w:p>
          <w:p w14:paraId="3822653E" w14:textId="77777777" w:rsidR="00437597" w:rsidRPr="00B61629" w:rsidRDefault="00437597" w:rsidP="001C0874"/>
        </w:tc>
      </w:tr>
    </w:tbl>
    <w:p w14:paraId="2D34585E" w14:textId="5B88282F" w:rsidR="00CA4769" w:rsidRDefault="00CA4769" w:rsidP="00437597">
      <w:pPr>
        <w:rPr>
          <w:b/>
        </w:rPr>
      </w:pPr>
    </w:p>
    <w:p w14:paraId="318959F8" w14:textId="77777777" w:rsidR="00437597" w:rsidRPr="00B61629" w:rsidRDefault="00437597" w:rsidP="00437597">
      <w:pPr>
        <w:rPr>
          <w:b/>
        </w:rPr>
      </w:pPr>
      <w:r w:rsidRPr="00B61629">
        <w:rPr>
          <w:b/>
        </w:rPr>
        <w:t>Case History:</w:t>
      </w:r>
    </w:p>
    <w:p w14:paraId="7D4D49DE" w14:textId="77777777" w:rsidR="00437597" w:rsidRPr="00B61629" w:rsidRDefault="00437597" w:rsidP="00437597"/>
    <w:p w14:paraId="63CE2A20" w14:textId="77777777" w:rsidR="006B1D4E" w:rsidRDefault="006B1D4E" w:rsidP="00E1048D">
      <w:pPr>
        <w:numPr>
          <w:ilvl w:val="0"/>
          <w:numId w:val="3"/>
        </w:numPr>
        <w:rPr>
          <w:b/>
          <w:lang w:val="en-US"/>
        </w:rPr>
      </w:pPr>
      <w:r>
        <w:rPr>
          <w:b/>
          <w:lang w:val="en-US"/>
        </w:rPr>
        <w:t xml:space="preserve">Recently joined the school following a permanent exclusion from another school </w:t>
      </w:r>
    </w:p>
    <w:p w14:paraId="78761FEC" w14:textId="77777777" w:rsidR="006B1D4E" w:rsidRDefault="006B1D4E" w:rsidP="00E1048D">
      <w:pPr>
        <w:numPr>
          <w:ilvl w:val="0"/>
          <w:numId w:val="3"/>
        </w:numPr>
        <w:rPr>
          <w:b/>
          <w:lang w:val="en-US"/>
        </w:rPr>
      </w:pPr>
      <w:r>
        <w:rPr>
          <w:b/>
          <w:lang w:val="en-US"/>
        </w:rPr>
        <w:t xml:space="preserve">Long history of emotional outbursts and violence towards other pupils and adults </w:t>
      </w:r>
    </w:p>
    <w:p w14:paraId="6BBB4331" w14:textId="1488250F" w:rsidR="001A12C7" w:rsidRDefault="006B1D4E" w:rsidP="00E1048D">
      <w:pPr>
        <w:numPr>
          <w:ilvl w:val="0"/>
          <w:numId w:val="3"/>
        </w:numPr>
        <w:rPr>
          <w:b/>
          <w:lang w:val="en-US"/>
        </w:rPr>
      </w:pPr>
      <w:r>
        <w:rPr>
          <w:b/>
          <w:lang w:val="en-US"/>
        </w:rPr>
        <w:t xml:space="preserve">EHCP in place for SEMH, full time 1:1 support </w:t>
      </w:r>
      <w:r w:rsidR="001A12C7">
        <w:rPr>
          <w:b/>
          <w:lang w:val="en-US"/>
        </w:rPr>
        <w:t xml:space="preserve"> </w:t>
      </w:r>
    </w:p>
    <w:p w14:paraId="203F9763" w14:textId="77777777" w:rsidR="00437597" w:rsidRPr="00B61629" w:rsidRDefault="00437597" w:rsidP="00437597">
      <w:pPr>
        <w:rPr>
          <w:b/>
        </w:rPr>
      </w:pPr>
    </w:p>
    <w:p w14:paraId="68F0E5F3" w14:textId="7CB28573" w:rsidR="00E97CAB" w:rsidRPr="00C0661B" w:rsidRDefault="00C0661B">
      <w:pPr>
        <w:rPr>
          <w:b/>
        </w:rPr>
      </w:pPr>
      <w:r w:rsidRPr="00C0661B">
        <w:rPr>
          <w:b/>
        </w:rPr>
        <w:t xml:space="preserve">Overcoming Barriers Plan: </w:t>
      </w:r>
    </w:p>
    <w:p w14:paraId="7CED4EE7" w14:textId="77777777" w:rsidR="00C0661B" w:rsidRDefault="00C0661B"/>
    <w:tbl>
      <w:tblPr>
        <w:tblStyle w:val="TableGrid"/>
        <w:tblW w:w="14623" w:type="dxa"/>
        <w:tblLook w:val="04A0" w:firstRow="1" w:lastRow="0" w:firstColumn="1" w:lastColumn="0" w:noHBand="0" w:noVBand="1"/>
      </w:tblPr>
      <w:tblGrid>
        <w:gridCol w:w="2256"/>
        <w:gridCol w:w="3792"/>
        <w:gridCol w:w="4414"/>
        <w:gridCol w:w="4161"/>
      </w:tblGrid>
      <w:tr w:rsidR="00707074" w14:paraId="561676B7" w14:textId="77777777" w:rsidTr="00707074">
        <w:tc>
          <w:tcPr>
            <w:tcW w:w="2256" w:type="dxa"/>
            <w:shd w:val="clear" w:color="auto" w:fill="D9E2F3" w:themeFill="accent1" w:themeFillTint="33"/>
          </w:tcPr>
          <w:p w14:paraId="5FDBCD75" w14:textId="73D74B3D" w:rsidR="00C0661B" w:rsidRPr="00093771" w:rsidRDefault="00C0661B" w:rsidP="00093771">
            <w:pPr>
              <w:jc w:val="center"/>
              <w:rPr>
                <w:color w:val="4472C4" w:themeColor="accent1"/>
              </w:rPr>
            </w:pPr>
            <w:r w:rsidRPr="00093771">
              <w:rPr>
                <w:color w:val="4472C4" w:themeColor="accent1"/>
              </w:rPr>
              <w:t>Relationships between home &amp; school: Identified Barriers</w:t>
            </w:r>
          </w:p>
        </w:tc>
        <w:tc>
          <w:tcPr>
            <w:tcW w:w="3792" w:type="dxa"/>
          </w:tcPr>
          <w:p w14:paraId="0E65F9C4" w14:textId="256E6610"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414" w:type="dxa"/>
          </w:tcPr>
          <w:p w14:paraId="792B9C22" w14:textId="427EAB98" w:rsidR="00C0661B" w:rsidRPr="00093771" w:rsidRDefault="00C0661B" w:rsidP="00093771">
            <w:pPr>
              <w:jc w:val="center"/>
              <w:rPr>
                <w:color w:val="4472C4" w:themeColor="accent1"/>
              </w:rPr>
            </w:pPr>
            <w:r w:rsidRPr="00093771">
              <w:rPr>
                <w:color w:val="4472C4" w:themeColor="accent1"/>
              </w:rPr>
              <w:t>Actions Taken &amp; Timescales</w:t>
            </w:r>
          </w:p>
        </w:tc>
        <w:tc>
          <w:tcPr>
            <w:tcW w:w="4161" w:type="dxa"/>
          </w:tcPr>
          <w:p w14:paraId="1911AC94" w14:textId="174E33E1" w:rsidR="00C0661B" w:rsidRPr="00093771" w:rsidRDefault="00C0661B" w:rsidP="00093771">
            <w:pPr>
              <w:jc w:val="center"/>
              <w:rPr>
                <w:color w:val="4472C4" w:themeColor="accent1"/>
              </w:rPr>
            </w:pPr>
            <w:r w:rsidRPr="00093771">
              <w:rPr>
                <w:color w:val="4472C4" w:themeColor="accent1"/>
              </w:rPr>
              <w:t>Impact</w:t>
            </w:r>
          </w:p>
        </w:tc>
      </w:tr>
      <w:tr w:rsidR="00882D0A" w14:paraId="50490F50" w14:textId="77777777" w:rsidTr="00707074">
        <w:tc>
          <w:tcPr>
            <w:tcW w:w="2256" w:type="dxa"/>
          </w:tcPr>
          <w:p w14:paraId="0E3368B9" w14:textId="234DDEBD" w:rsidR="00C0661B" w:rsidRDefault="0089659C" w:rsidP="00C0661B">
            <w:r>
              <w:t xml:space="preserve">Attitude to parents and staff </w:t>
            </w:r>
          </w:p>
        </w:tc>
        <w:tc>
          <w:tcPr>
            <w:tcW w:w="3792" w:type="dxa"/>
          </w:tcPr>
          <w:p w14:paraId="65454218" w14:textId="770D3CB4" w:rsidR="00C0661B" w:rsidRDefault="0089659C">
            <w:r>
              <w:t xml:space="preserve">Frank struggled significantly with school and home discussing him and described this as an attack / everyone out to get him </w:t>
            </w:r>
          </w:p>
        </w:tc>
        <w:tc>
          <w:tcPr>
            <w:tcW w:w="4414" w:type="dxa"/>
          </w:tcPr>
          <w:p w14:paraId="2D057819" w14:textId="0DD490EC" w:rsidR="00915049" w:rsidRDefault="006868ED">
            <w:r>
              <w:t xml:space="preserve">Daily contact book and weekly meeting with Behaviour Mentor, TA and parents </w:t>
            </w:r>
          </w:p>
        </w:tc>
        <w:tc>
          <w:tcPr>
            <w:tcW w:w="4161" w:type="dxa"/>
          </w:tcPr>
          <w:p w14:paraId="45DD27B4" w14:textId="677C05A9" w:rsidR="00C0661B" w:rsidRDefault="0089659C">
            <w:r>
              <w:t>Mum reinforces praise at home for Frank’s successes and the focus of the contact is on the positives, however small</w:t>
            </w:r>
          </w:p>
        </w:tc>
      </w:tr>
      <w:tr w:rsidR="00E97CAB" w14:paraId="690B114E" w14:textId="77777777" w:rsidTr="00707074">
        <w:tc>
          <w:tcPr>
            <w:tcW w:w="2256" w:type="dxa"/>
          </w:tcPr>
          <w:p w14:paraId="7F881697" w14:textId="1BF20DD2" w:rsidR="00E97CAB" w:rsidRDefault="0089659C" w:rsidP="00C0661B">
            <w:r>
              <w:t xml:space="preserve">Behaviour at home </w:t>
            </w:r>
          </w:p>
        </w:tc>
        <w:tc>
          <w:tcPr>
            <w:tcW w:w="3792" w:type="dxa"/>
          </w:tcPr>
          <w:p w14:paraId="22D79A0A" w14:textId="797DDE28" w:rsidR="00E97CAB" w:rsidRDefault="00E97CAB">
            <w:bookmarkStart w:id="0" w:name="_GoBack"/>
            <w:bookmarkEnd w:id="0"/>
          </w:p>
        </w:tc>
        <w:tc>
          <w:tcPr>
            <w:tcW w:w="4414" w:type="dxa"/>
          </w:tcPr>
          <w:p w14:paraId="443D3CC9" w14:textId="18FED32F" w:rsidR="00E97CAB" w:rsidRDefault="0089659C" w:rsidP="0089659C">
            <w:r>
              <w:t xml:space="preserve">Mum has attended Solihull Training signposted by FLO </w:t>
            </w:r>
          </w:p>
        </w:tc>
        <w:tc>
          <w:tcPr>
            <w:tcW w:w="4161" w:type="dxa"/>
          </w:tcPr>
          <w:p w14:paraId="7C51CBF9" w14:textId="02F8791C" w:rsidR="00E97CAB" w:rsidRDefault="0089659C">
            <w:r>
              <w:t xml:space="preserve">Mum reports less outbursts and violence at home and she feels more in control of situations as they arise </w:t>
            </w:r>
          </w:p>
        </w:tc>
      </w:tr>
    </w:tbl>
    <w:p w14:paraId="701A7B60" w14:textId="41DEEB32" w:rsidR="00C0661B" w:rsidRDefault="00C0661B"/>
    <w:tbl>
      <w:tblPr>
        <w:tblStyle w:val="TableGrid"/>
        <w:tblW w:w="14589" w:type="dxa"/>
        <w:tblLook w:val="04A0" w:firstRow="1" w:lastRow="0" w:firstColumn="1" w:lastColumn="0" w:noHBand="0" w:noVBand="1"/>
      </w:tblPr>
      <w:tblGrid>
        <w:gridCol w:w="2291"/>
        <w:gridCol w:w="3841"/>
        <w:gridCol w:w="4330"/>
        <w:gridCol w:w="4127"/>
      </w:tblGrid>
      <w:tr w:rsidR="00707074" w14:paraId="4015F40F" w14:textId="77777777" w:rsidTr="00707074">
        <w:tc>
          <w:tcPr>
            <w:tcW w:w="2291" w:type="dxa"/>
            <w:shd w:val="clear" w:color="auto" w:fill="FBE4D5" w:themeFill="accent2" w:themeFillTint="33"/>
          </w:tcPr>
          <w:p w14:paraId="3217AE6B" w14:textId="2E28FDD4" w:rsidR="00C0661B" w:rsidRPr="00093771" w:rsidRDefault="00C0661B" w:rsidP="00093771">
            <w:pPr>
              <w:jc w:val="center"/>
              <w:rPr>
                <w:color w:val="4472C4" w:themeColor="accent1"/>
              </w:rPr>
            </w:pPr>
            <w:r w:rsidRPr="00093771">
              <w:rPr>
                <w:color w:val="4472C4" w:themeColor="accent1"/>
              </w:rPr>
              <w:t>Readiness for Learning</w:t>
            </w:r>
            <w:r w:rsidRPr="00093771">
              <w:rPr>
                <w:color w:val="4472C4" w:themeColor="accent1"/>
              </w:rPr>
              <w:t>: Identified Barriers</w:t>
            </w:r>
          </w:p>
        </w:tc>
        <w:tc>
          <w:tcPr>
            <w:tcW w:w="3841" w:type="dxa"/>
          </w:tcPr>
          <w:p w14:paraId="518B05D4" w14:textId="759E859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330" w:type="dxa"/>
          </w:tcPr>
          <w:p w14:paraId="5D6B7061"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7DC31552" w14:textId="5D78721C" w:rsidR="00C0661B" w:rsidRPr="00093771" w:rsidRDefault="00C0661B" w:rsidP="00093771">
            <w:pPr>
              <w:jc w:val="center"/>
              <w:rPr>
                <w:color w:val="4472C4" w:themeColor="accent1"/>
              </w:rPr>
            </w:pPr>
            <w:r w:rsidRPr="00093771">
              <w:rPr>
                <w:color w:val="4472C4" w:themeColor="accent1"/>
              </w:rPr>
              <w:t>Impact</w:t>
            </w:r>
          </w:p>
        </w:tc>
      </w:tr>
      <w:tr w:rsidR="00707074" w14:paraId="3932A9D5" w14:textId="77777777" w:rsidTr="00707074">
        <w:tc>
          <w:tcPr>
            <w:tcW w:w="2291" w:type="dxa"/>
          </w:tcPr>
          <w:p w14:paraId="2540B44C" w14:textId="28FE73A1" w:rsidR="00C0661B" w:rsidRDefault="00BB4629" w:rsidP="00A23B20">
            <w:r>
              <w:t>Behaviour</w:t>
            </w:r>
            <w:r w:rsidR="00A22668">
              <w:t>al</w:t>
            </w:r>
            <w:r>
              <w:t xml:space="preserve"> outbursts </w:t>
            </w:r>
          </w:p>
        </w:tc>
        <w:tc>
          <w:tcPr>
            <w:tcW w:w="3841" w:type="dxa"/>
          </w:tcPr>
          <w:p w14:paraId="3E51A113" w14:textId="1CE12A45" w:rsidR="00C0661B" w:rsidRDefault="0089659C" w:rsidP="00CA4769">
            <w:r>
              <w:t xml:space="preserve">The first hour of the day is typically the most volatile session for Frank. He finds the transition from home to </w:t>
            </w:r>
            <w:r>
              <w:lastRenderedPageBreak/>
              <w:t xml:space="preserve">school difficult and can be ‘set off’ with the smallest situation arising </w:t>
            </w:r>
          </w:p>
        </w:tc>
        <w:tc>
          <w:tcPr>
            <w:tcW w:w="4330" w:type="dxa"/>
          </w:tcPr>
          <w:p w14:paraId="629A386C" w14:textId="77777777" w:rsidR="00757613" w:rsidRDefault="00BB4629" w:rsidP="00A23B20">
            <w:r>
              <w:lastRenderedPageBreak/>
              <w:t xml:space="preserve">Morning arrival session with TA -  readiness for the day </w:t>
            </w:r>
          </w:p>
          <w:p w14:paraId="54BB8C6A" w14:textId="77777777" w:rsidR="00BB4629" w:rsidRDefault="00BB4629" w:rsidP="00A23B20">
            <w:r>
              <w:t xml:space="preserve">Visual timetable </w:t>
            </w:r>
          </w:p>
          <w:p w14:paraId="5C9D2B18" w14:textId="68DB9389" w:rsidR="00BB4629" w:rsidRDefault="00BB4629" w:rsidP="00A23B20">
            <w:r>
              <w:lastRenderedPageBreak/>
              <w:t xml:space="preserve">Early morning calming activity – art, music </w:t>
            </w:r>
          </w:p>
        </w:tc>
        <w:tc>
          <w:tcPr>
            <w:tcW w:w="4127" w:type="dxa"/>
          </w:tcPr>
          <w:p w14:paraId="148B25B7" w14:textId="30D22A7A" w:rsidR="00CA4769" w:rsidRDefault="00BB4629" w:rsidP="00A23B20">
            <w:r>
              <w:lastRenderedPageBreak/>
              <w:t xml:space="preserve">Far fewer incidents of anger outbursts and frustration. Frank is typically calmer </w:t>
            </w:r>
            <w:r>
              <w:lastRenderedPageBreak/>
              <w:t xml:space="preserve">and coping more readily with the school environment </w:t>
            </w:r>
          </w:p>
        </w:tc>
      </w:tr>
      <w:tr w:rsidR="00757613" w14:paraId="50D34E38" w14:textId="77777777" w:rsidTr="00707074">
        <w:tc>
          <w:tcPr>
            <w:tcW w:w="2291" w:type="dxa"/>
          </w:tcPr>
          <w:p w14:paraId="1E132B52" w14:textId="44A6AA79" w:rsidR="00757613" w:rsidRDefault="00A22668" w:rsidP="00A23B20">
            <w:r>
              <w:lastRenderedPageBreak/>
              <w:t xml:space="preserve">Integration into school setting following permanent exclusion </w:t>
            </w:r>
          </w:p>
        </w:tc>
        <w:tc>
          <w:tcPr>
            <w:tcW w:w="3841" w:type="dxa"/>
          </w:tcPr>
          <w:p w14:paraId="6071A421" w14:textId="7114D3D3" w:rsidR="00757613" w:rsidRDefault="00BB4629" w:rsidP="00CA4769">
            <w:r>
              <w:t xml:space="preserve">Transition into the school was the critical aspect for Frank. He needed to learn to trust key staff and want to make changes to his behaviour. The plan was very slow, highly detailed and introduced Frank to staff and pupils very slowly. It was reviewed weekly and worked at Frank’s pace. There were very few opportunities for him to fail so success could be continually celebrated </w:t>
            </w:r>
          </w:p>
        </w:tc>
        <w:tc>
          <w:tcPr>
            <w:tcW w:w="4330" w:type="dxa"/>
          </w:tcPr>
          <w:p w14:paraId="46C50777" w14:textId="77777777" w:rsidR="00757613" w:rsidRDefault="00BB4629" w:rsidP="00A23B20">
            <w:r>
              <w:t xml:space="preserve">Transition Plan was put in place for 12 weeks: </w:t>
            </w:r>
          </w:p>
          <w:p w14:paraId="74662E8C" w14:textId="77777777" w:rsidR="00BB4629" w:rsidRDefault="00BB4629" w:rsidP="00A23B20">
            <w:r>
              <w:t>Slow integration into school, PT time table, sessions initially in wellbeing room, gradual integration into activities Frank prefers, introduction to Forest School</w:t>
            </w:r>
          </w:p>
          <w:p w14:paraId="533FC5AA" w14:textId="77777777" w:rsidR="00BB4629" w:rsidRDefault="00BB4629" w:rsidP="00A23B20">
            <w:r>
              <w:t xml:space="preserve">Daily interventions bespoke to wellbeing developed and implemented first </w:t>
            </w:r>
          </w:p>
          <w:p w14:paraId="02B280CD" w14:textId="14199C43" w:rsidR="00BB4629" w:rsidRDefault="00BB4629" w:rsidP="00A23B20">
            <w:r>
              <w:t xml:space="preserve">Slow progression into classroom activities over time </w:t>
            </w:r>
          </w:p>
        </w:tc>
        <w:tc>
          <w:tcPr>
            <w:tcW w:w="4127" w:type="dxa"/>
          </w:tcPr>
          <w:p w14:paraId="1503E0C9" w14:textId="470F4B8D" w:rsidR="00757613" w:rsidRDefault="00BB4629" w:rsidP="00A23B20">
            <w:r>
              <w:t xml:space="preserve">Frank is now in school full time and accessing classroom learning about 75% of the school day </w:t>
            </w:r>
          </w:p>
        </w:tc>
      </w:tr>
    </w:tbl>
    <w:p w14:paraId="0794BCC5" w14:textId="508EFBAD" w:rsidR="00C0661B" w:rsidRPr="00093771" w:rsidRDefault="00C0661B" w:rsidP="00093771">
      <w:pPr>
        <w:jc w:val="center"/>
        <w:rPr>
          <w:color w:val="4472C4" w:themeColor="accent1"/>
        </w:rPr>
      </w:pPr>
    </w:p>
    <w:tbl>
      <w:tblPr>
        <w:tblStyle w:val="TableGrid"/>
        <w:tblW w:w="14589" w:type="dxa"/>
        <w:tblLook w:val="04A0" w:firstRow="1" w:lastRow="0" w:firstColumn="1" w:lastColumn="0" w:noHBand="0" w:noVBand="1"/>
      </w:tblPr>
      <w:tblGrid>
        <w:gridCol w:w="2291"/>
        <w:gridCol w:w="3890"/>
        <w:gridCol w:w="4281"/>
        <w:gridCol w:w="4127"/>
      </w:tblGrid>
      <w:tr w:rsidR="00707074" w:rsidRPr="00093771" w14:paraId="4DFA50F9" w14:textId="77777777" w:rsidTr="00707074">
        <w:tc>
          <w:tcPr>
            <w:tcW w:w="2291" w:type="dxa"/>
            <w:shd w:val="clear" w:color="auto" w:fill="FFF2CC" w:themeFill="accent4" w:themeFillTint="33"/>
          </w:tcPr>
          <w:p w14:paraId="12C951EE" w14:textId="70BE7E1A" w:rsidR="00C0661B" w:rsidRPr="00093771" w:rsidRDefault="00C0661B" w:rsidP="00093771">
            <w:pPr>
              <w:jc w:val="center"/>
              <w:rPr>
                <w:color w:val="4472C4" w:themeColor="accent1"/>
              </w:rPr>
            </w:pPr>
            <w:r w:rsidRPr="00093771">
              <w:rPr>
                <w:color w:val="4472C4" w:themeColor="accent1"/>
              </w:rPr>
              <w:t>In class provision</w:t>
            </w:r>
            <w:r w:rsidRPr="00093771">
              <w:rPr>
                <w:color w:val="4472C4" w:themeColor="accent1"/>
              </w:rPr>
              <w:t>: Identified Barriers</w:t>
            </w:r>
          </w:p>
        </w:tc>
        <w:tc>
          <w:tcPr>
            <w:tcW w:w="3890" w:type="dxa"/>
          </w:tcPr>
          <w:p w14:paraId="5058E0E1" w14:textId="56F894CB"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281" w:type="dxa"/>
          </w:tcPr>
          <w:p w14:paraId="7CB808FD"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3B3DD3FC" w14:textId="19711893" w:rsidR="00C0661B" w:rsidRPr="00093771" w:rsidRDefault="00C0661B" w:rsidP="00093771">
            <w:pPr>
              <w:jc w:val="center"/>
              <w:rPr>
                <w:color w:val="4472C4" w:themeColor="accent1"/>
              </w:rPr>
            </w:pPr>
            <w:r w:rsidRPr="00093771">
              <w:rPr>
                <w:color w:val="4472C4" w:themeColor="accent1"/>
              </w:rPr>
              <w:t>Impact</w:t>
            </w:r>
          </w:p>
        </w:tc>
      </w:tr>
      <w:tr w:rsidR="00882D0A" w14:paraId="79ABE0F0" w14:textId="77777777" w:rsidTr="00707074">
        <w:tc>
          <w:tcPr>
            <w:tcW w:w="2291" w:type="dxa"/>
          </w:tcPr>
          <w:p w14:paraId="170145EA" w14:textId="48E6CCA2" w:rsidR="00C0661B" w:rsidRDefault="00A22668" w:rsidP="00A23B20">
            <w:r>
              <w:t xml:space="preserve">Concentration and negative attitude towards classroom learning </w:t>
            </w:r>
          </w:p>
        </w:tc>
        <w:tc>
          <w:tcPr>
            <w:tcW w:w="3890" w:type="dxa"/>
          </w:tcPr>
          <w:p w14:paraId="26E3D33D" w14:textId="615068B0" w:rsidR="00C0661B" w:rsidRDefault="00A22668" w:rsidP="00A23B20">
            <w:r>
              <w:t xml:space="preserve">Frank’s current concentration is around 15 mins – this has increased significantly. After this time Frank will often become restless and then increasingly disruptive </w:t>
            </w:r>
          </w:p>
        </w:tc>
        <w:tc>
          <w:tcPr>
            <w:tcW w:w="4281" w:type="dxa"/>
          </w:tcPr>
          <w:p w14:paraId="2882C504" w14:textId="51844F16" w:rsidR="00E0327F" w:rsidRDefault="00BB4629" w:rsidP="00882D0A">
            <w:r>
              <w:t xml:space="preserve">Outdoor learning opportunities daily e.g. Forest school with class and additional opportunities </w:t>
            </w:r>
          </w:p>
          <w:p w14:paraId="4BCE2350" w14:textId="77777777" w:rsidR="00BB4629" w:rsidRDefault="00BB4629" w:rsidP="00882D0A">
            <w:r>
              <w:t>Choice to work outside where lesson allows</w:t>
            </w:r>
          </w:p>
          <w:p w14:paraId="64CD0093" w14:textId="77777777" w:rsidR="00BB4629" w:rsidRDefault="00BB4629" w:rsidP="00882D0A">
            <w:r>
              <w:t xml:space="preserve">Planned opportunities for outdoor learning </w:t>
            </w:r>
          </w:p>
          <w:p w14:paraId="0D2B8B9A" w14:textId="0DD1B93F" w:rsidR="00A22668" w:rsidRDefault="00A22668" w:rsidP="00882D0A">
            <w:r>
              <w:t xml:space="preserve">Regular breaks from the lesson and time out </w:t>
            </w:r>
          </w:p>
        </w:tc>
        <w:tc>
          <w:tcPr>
            <w:tcW w:w="4127" w:type="dxa"/>
          </w:tcPr>
          <w:p w14:paraId="5A974E83" w14:textId="04297DA0" w:rsidR="00C0661B" w:rsidRDefault="00BB4629" w:rsidP="00A23B20">
            <w:r>
              <w:t xml:space="preserve">Frank shows greater levels of concentration, interest and less frustration when working outside. He cooperates more readily with his peers and is calmer and more relaxed in a more informal environment </w:t>
            </w:r>
          </w:p>
        </w:tc>
      </w:tr>
      <w:tr w:rsidR="001F6CB9" w14:paraId="68346097" w14:textId="77777777" w:rsidTr="00707074">
        <w:tc>
          <w:tcPr>
            <w:tcW w:w="2291" w:type="dxa"/>
          </w:tcPr>
          <w:p w14:paraId="520AE604" w14:textId="41BC5D42" w:rsidR="001F6CB9" w:rsidRDefault="00A22668" w:rsidP="00A23B20">
            <w:r>
              <w:t xml:space="preserve">Self Esteem </w:t>
            </w:r>
          </w:p>
        </w:tc>
        <w:tc>
          <w:tcPr>
            <w:tcW w:w="3890" w:type="dxa"/>
          </w:tcPr>
          <w:p w14:paraId="0726F7DB" w14:textId="2CA7AAA3" w:rsidR="001F6CB9" w:rsidRDefault="00A22668" w:rsidP="00A23B20">
            <w:r>
              <w:t xml:space="preserve">Frank has a very low opinion of himself, his abilities and learning aptitude – when feeling inadequate he will display anger, frustration and aggression </w:t>
            </w:r>
          </w:p>
        </w:tc>
        <w:tc>
          <w:tcPr>
            <w:tcW w:w="4281" w:type="dxa"/>
          </w:tcPr>
          <w:p w14:paraId="374A0C47" w14:textId="77777777" w:rsidR="00820131" w:rsidRDefault="00A22668" w:rsidP="00882D0A">
            <w:r>
              <w:t>Continual praise and reward, celebration of successes on a tiered system that includes visiting key SLT members for rewards</w:t>
            </w:r>
          </w:p>
          <w:p w14:paraId="24A4071C" w14:textId="77777777" w:rsidR="00A22668" w:rsidRDefault="00A22668" w:rsidP="00882D0A">
            <w:r>
              <w:t xml:space="preserve">Changes to the rewards and approach fortnightly to ensure continued engagement with the system </w:t>
            </w:r>
          </w:p>
          <w:p w14:paraId="7CFF3C36" w14:textId="7E060EC2" w:rsidR="00A22668" w:rsidRDefault="00A22668" w:rsidP="00882D0A">
            <w:r>
              <w:t xml:space="preserve">All staff working with Frank have had training and updates regularly on the approaches that work to ensure a whole school consistent approach </w:t>
            </w:r>
          </w:p>
        </w:tc>
        <w:tc>
          <w:tcPr>
            <w:tcW w:w="4127" w:type="dxa"/>
          </w:tcPr>
          <w:p w14:paraId="66B5D189" w14:textId="3FB423DD" w:rsidR="00820131" w:rsidRDefault="00A22668" w:rsidP="00A23B20">
            <w:r>
              <w:t xml:space="preserve">Frank’s wellbeing levels are increasing. He is now more prepared to attempt new activities and whilst reading is still a source of anxiety, his engagement in maths, science and humanities is strengthening </w:t>
            </w:r>
          </w:p>
        </w:tc>
      </w:tr>
    </w:tbl>
    <w:p w14:paraId="04F053BE" w14:textId="2EC5CA33" w:rsidR="00C0661B" w:rsidRDefault="00C0661B"/>
    <w:tbl>
      <w:tblPr>
        <w:tblStyle w:val="TableGrid"/>
        <w:tblW w:w="14589" w:type="dxa"/>
        <w:tblLook w:val="04A0" w:firstRow="1" w:lastRow="0" w:firstColumn="1" w:lastColumn="0" w:noHBand="0" w:noVBand="1"/>
      </w:tblPr>
      <w:tblGrid>
        <w:gridCol w:w="2291"/>
        <w:gridCol w:w="3983"/>
        <w:gridCol w:w="4188"/>
        <w:gridCol w:w="4127"/>
      </w:tblGrid>
      <w:tr w:rsidR="00882D0A" w14:paraId="2A521355" w14:textId="77777777" w:rsidTr="00707074">
        <w:tc>
          <w:tcPr>
            <w:tcW w:w="2291" w:type="dxa"/>
            <w:shd w:val="clear" w:color="auto" w:fill="E2EFD9" w:themeFill="accent6" w:themeFillTint="33"/>
          </w:tcPr>
          <w:p w14:paraId="495BD1AF" w14:textId="22C8774D" w:rsidR="00C0661B" w:rsidRPr="00093771" w:rsidRDefault="00C0661B" w:rsidP="00093771">
            <w:pPr>
              <w:jc w:val="center"/>
              <w:rPr>
                <w:color w:val="4472C4" w:themeColor="accent1"/>
              </w:rPr>
            </w:pPr>
            <w:r w:rsidRPr="00093771">
              <w:rPr>
                <w:color w:val="4472C4" w:themeColor="accent1"/>
              </w:rPr>
              <w:t>Interventions</w:t>
            </w:r>
            <w:r w:rsidRPr="00093771">
              <w:rPr>
                <w:color w:val="4472C4" w:themeColor="accent1"/>
              </w:rPr>
              <w:t>: Identified Barriers</w:t>
            </w:r>
          </w:p>
        </w:tc>
        <w:tc>
          <w:tcPr>
            <w:tcW w:w="3983" w:type="dxa"/>
          </w:tcPr>
          <w:p w14:paraId="6287FC97" w14:textId="7F958BC7" w:rsidR="00C0661B" w:rsidRPr="00093771" w:rsidRDefault="00C0661B" w:rsidP="00093771">
            <w:pPr>
              <w:jc w:val="center"/>
              <w:rPr>
                <w:color w:val="4472C4" w:themeColor="accent1"/>
              </w:rPr>
            </w:pPr>
            <w:r w:rsidRPr="00093771">
              <w:rPr>
                <w:color w:val="4472C4" w:themeColor="accent1"/>
              </w:rPr>
              <w:t>Observations and analysis of other information</w:t>
            </w:r>
          </w:p>
        </w:tc>
        <w:tc>
          <w:tcPr>
            <w:tcW w:w="4188" w:type="dxa"/>
          </w:tcPr>
          <w:p w14:paraId="15F21AC7" w14:textId="77777777" w:rsidR="00C0661B" w:rsidRPr="00093771" w:rsidRDefault="00C0661B" w:rsidP="00093771">
            <w:pPr>
              <w:jc w:val="center"/>
              <w:rPr>
                <w:color w:val="4472C4" w:themeColor="accent1"/>
              </w:rPr>
            </w:pPr>
            <w:r w:rsidRPr="00093771">
              <w:rPr>
                <w:color w:val="4472C4" w:themeColor="accent1"/>
              </w:rPr>
              <w:t>Actions Taken &amp; Timescales</w:t>
            </w:r>
          </w:p>
        </w:tc>
        <w:tc>
          <w:tcPr>
            <w:tcW w:w="4127" w:type="dxa"/>
          </w:tcPr>
          <w:p w14:paraId="03FA09AE" w14:textId="27204416" w:rsidR="00C0661B" w:rsidRPr="00093771" w:rsidRDefault="00C0661B" w:rsidP="00093771">
            <w:pPr>
              <w:jc w:val="center"/>
              <w:rPr>
                <w:color w:val="4472C4" w:themeColor="accent1"/>
              </w:rPr>
            </w:pPr>
            <w:r w:rsidRPr="00093771">
              <w:rPr>
                <w:color w:val="4472C4" w:themeColor="accent1"/>
              </w:rPr>
              <w:t>Impact</w:t>
            </w:r>
          </w:p>
        </w:tc>
      </w:tr>
      <w:tr w:rsidR="00882D0A" w14:paraId="4644AF79" w14:textId="77777777" w:rsidTr="00707074">
        <w:trPr>
          <w:trHeight w:val="272"/>
        </w:trPr>
        <w:tc>
          <w:tcPr>
            <w:tcW w:w="2291" w:type="dxa"/>
          </w:tcPr>
          <w:p w14:paraId="29BC636B" w14:textId="380544C4" w:rsidR="00C0661B" w:rsidRDefault="00180962" w:rsidP="00A23B20">
            <w:r>
              <w:t xml:space="preserve">Anxiety and anger </w:t>
            </w:r>
          </w:p>
        </w:tc>
        <w:tc>
          <w:tcPr>
            <w:tcW w:w="3983" w:type="dxa"/>
          </w:tcPr>
          <w:p w14:paraId="3B3EDAE9" w14:textId="3D2BD6B7" w:rsidR="00E67BBB" w:rsidRDefault="00180962" w:rsidP="00A23B20">
            <w:r>
              <w:t xml:space="preserve">Frank struggles to rationalise and manage his reactions to situations he finds stressful </w:t>
            </w:r>
          </w:p>
        </w:tc>
        <w:tc>
          <w:tcPr>
            <w:tcW w:w="4188" w:type="dxa"/>
          </w:tcPr>
          <w:p w14:paraId="7560EAB8" w14:textId="00DB6F83" w:rsidR="00757613" w:rsidRDefault="006B1D4E" w:rsidP="00A23B20">
            <w:r>
              <w:t>Lego Therapy</w:t>
            </w:r>
          </w:p>
        </w:tc>
        <w:tc>
          <w:tcPr>
            <w:tcW w:w="4127" w:type="dxa"/>
          </w:tcPr>
          <w:p w14:paraId="22197906" w14:textId="66751863" w:rsidR="00E67BBB" w:rsidRDefault="00180962" w:rsidP="00A23B20">
            <w:r>
              <w:t xml:space="preserve">Frank really enjoys this and looks forward to these sessions. He is showing increasing levels of engagement in talking about himself and his reactions and as a result is starting to manage situations more effectively </w:t>
            </w:r>
          </w:p>
        </w:tc>
      </w:tr>
      <w:tr w:rsidR="00BF3502" w14:paraId="605B970E" w14:textId="77777777" w:rsidTr="00707074">
        <w:trPr>
          <w:trHeight w:val="272"/>
        </w:trPr>
        <w:tc>
          <w:tcPr>
            <w:tcW w:w="2291" w:type="dxa"/>
          </w:tcPr>
          <w:p w14:paraId="6CACB11B" w14:textId="0255904B" w:rsidR="00BF3502" w:rsidRDefault="0089659C" w:rsidP="00A23B20">
            <w:r>
              <w:t xml:space="preserve">Behavioural outbursts </w:t>
            </w:r>
          </w:p>
        </w:tc>
        <w:tc>
          <w:tcPr>
            <w:tcW w:w="3983" w:type="dxa"/>
          </w:tcPr>
          <w:p w14:paraId="38133DD0" w14:textId="35358DDE" w:rsidR="00BF3502" w:rsidRDefault="00180962" w:rsidP="00A23B20">
            <w:r>
              <w:t xml:space="preserve">Frank has a pass for the wellbeing team and the aim is for him to choose to use it when a situation is deteriorating. Currently the TA is now suggesting the time out sessions but Frank is now responsive and will take himself to the wellbeing team </w:t>
            </w:r>
          </w:p>
        </w:tc>
        <w:tc>
          <w:tcPr>
            <w:tcW w:w="4188" w:type="dxa"/>
          </w:tcPr>
          <w:p w14:paraId="553728B5" w14:textId="7D519DB9" w:rsidR="00BF3502" w:rsidRDefault="006B1D4E" w:rsidP="00A23B20">
            <w:r>
              <w:t xml:space="preserve">Daily intervention with Behaviour Mentor </w:t>
            </w:r>
          </w:p>
        </w:tc>
        <w:tc>
          <w:tcPr>
            <w:tcW w:w="4127" w:type="dxa"/>
          </w:tcPr>
          <w:p w14:paraId="402180EB" w14:textId="552CDE46" w:rsidR="00BF3502" w:rsidRDefault="0089659C" w:rsidP="00A23B20">
            <w:r>
              <w:t xml:space="preserve">Behaviour Mentor will attempt to go through the activity that failed in the classroom setting with Frank and support him in identifying what went wrong. Typically, this is now working the majority of the time and Frank will often now complete the task </w:t>
            </w:r>
          </w:p>
        </w:tc>
      </w:tr>
      <w:tr w:rsidR="006B1D4E" w14:paraId="3C344987" w14:textId="77777777" w:rsidTr="006B1D4E">
        <w:trPr>
          <w:trHeight w:val="271"/>
        </w:trPr>
        <w:tc>
          <w:tcPr>
            <w:tcW w:w="2291" w:type="dxa"/>
          </w:tcPr>
          <w:p w14:paraId="5AB736E1" w14:textId="278D467E" w:rsidR="006B1D4E" w:rsidRDefault="0089659C" w:rsidP="00A23B20">
            <w:r>
              <w:t xml:space="preserve">Emotional Distress </w:t>
            </w:r>
          </w:p>
        </w:tc>
        <w:tc>
          <w:tcPr>
            <w:tcW w:w="3983" w:type="dxa"/>
          </w:tcPr>
          <w:p w14:paraId="41C13B6B" w14:textId="77777777" w:rsidR="006B1D4E" w:rsidRDefault="006B1D4E" w:rsidP="00A23B20"/>
        </w:tc>
        <w:tc>
          <w:tcPr>
            <w:tcW w:w="4188" w:type="dxa"/>
          </w:tcPr>
          <w:p w14:paraId="355815C5" w14:textId="77777777" w:rsidR="006B1D4E" w:rsidRDefault="006B1D4E" w:rsidP="00A23B20">
            <w:r>
              <w:t xml:space="preserve">Weekly counselling </w:t>
            </w:r>
          </w:p>
          <w:p w14:paraId="2D113E01" w14:textId="3CF59ED4" w:rsidR="0089659C" w:rsidRDefault="0089659C" w:rsidP="00A23B20"/>
        </w:tc>
        <w:tc>
          <w:tcPr>
            <w:tcW w:w="4127" w:type="dxa"/>
          </w:tcPr>
          <w:p w14:paraId="098486CE" w14:textId="48253873" w:rsidR="006B1D4E" w:rsidRDefault="0089659C" w:rsidP="00A23B20">
            <w:r>
              <w:t xml:space="preserve">Frank leaves school after these sessions as he is often quite emotional and can be volatile. However, there is a marked improvement in the following days in his attitude towards others </w:t>
            </w:r>
          </w:p>
        </w:tc>
      </w:tr>
    </w:tbl>
    <w:p w14:paraId="3BF85583" w14:textId="1EC4B7EA" w:rsidR="00093771" w:rsidRDefault="00093771">
      <w:pPr>
        <w:rPr>
          <w:color w:val="4472C4" w:themeColor="accent1"/>
        </w:rPr>
      </w:pPr>
    </w:p>
    <w:p w14:paraId="6CF93F16" w14:textId="32A3CE5C" w:rsidR="001D6EAD" w:rsidRPr="00093771" w:rsidRDefault="006B1D4E">
      <w:pPr>
        <w:rPr>
          <w:color w:val="4472C4" w:themeColor="accent1"/>
        </w:rPr>
      </w:pPr>
      <w:r>
        <w:rPr>
          <w:color w:val="4472C4" w:themeColor="accent1"/>
        </w:rPr>
        <w:t xml:space="preserve">Frank is not yet making appropriate progress in his learning and has outcomes well below age related standards. However, he is now attending school full time and has not had any exclusions in the last seasonal term. Attitude and behaviour is improving and it is now appropriate to address learning behaviours and support Frank in making academic progress </w:t>
      </w:r>
    </w:p>
    <w:sectPr w:rsidR="001D6EAD" w:rsidRPr="00093771" w:rsidSect="00CA4769">
      <w:pgSz w:w="16840" w:h="11900"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257"/>
    <w:multiLevelType w:val="hybridMultilevel"/>
    <w:tmpl w:val="0406D22E"/>
    <w:lvl w:ilvl="0" w:tplc="C802AFFE">
      <w:start w:val="1"/>
      <w:numFmt w:val="bullet"/>
      <w:lvlText w:val="•"/>
      <w:lvlJc w:val="left"/>
      <w:pPr>
        <w:tabs>
          <w:tab w:val="num" w:pos="720"/>
        </w:tabs>
        <w:ind w:left="720" w:hanging="360"/>
      </w:pPr>
      <w:rPr>
        <w:rFonts w:ascii="Arial" w:hAnsi="Arial" w:hint="default"/>
      </w:rPr>
    </w:lvl>
    <w:lvl w:ilvl="1" w:tplc="25ACAB70" w:tentative="1">
      <w:start w:val="1"/>
      <w:numFmt w:val="bullet"/>
      <w:lvlText w:val="•"/>
      <w:lvlJc w:val="left"/>
      <w:pPr>
        <w:tabs>
          <w:tab w:val="num" w:pos="1440"/>
        </w:tabs>
        <w:ind w:left="1440" w:hanging="360"/>
      </w:pPr>
      <w:rPr>
        <w:rFonts w:ascii="Arial" w:hAnsi="Arial" w:hint="default"/>
      </w:rPr>
    </w:lvl>
    <w:lvl w:ilvl="2" w:tplc="7FB0025A" w:tentative="1">
      <w:start w:val="1"/>
      <w:numFmt w:val="bullet"/>
      <w:lvlText w:val="•"/>
      <w:lvlJc w:val="left"/>
      <w:pPr>
        <w:tabs>
          <w:tab w:val="num" w:pos="2160"/>
        </w:tabs>
        <w:ind w:left="2160" w:hanging="360"/>
      </w:pPr>
      <w:rPr>
        <w:rFonts w:ascii="Arial" w:hAnsi="Arial" w:hint="default"/>
      </w:rPr>
    </w:lvl>
    <w:lvl w:ilvl="3" w:tplc="8AD0DF88" w:tentative="1">
      <w:start w:val="1"/>
      <w:numFmt w:val="bullet"/>
      <w:lvlText w:val="•"/>
      <w:lvlJc w:val="left"/>
      <w:pPr>
        <w:tabs>
          <w:tab w:val="num" w:pos="2880"/>
        </w:tabs>
        <w:ind w:left="2880" w:hanging="360"/>
      </w:pPr>
      <w:rPr>
        <w:rFonts w:ascii="Arial" w:hAnsi="Arial" w:hint="default"/>
      </w:rPr>
    </w:lvl>
    <w:lvl w:ilvl="4" w:tplc="DF565FE0" w:tentative="1">
      <w:start w:val="1"/>
      <w:numFmt w:val="bullet"/>
      <w:lvlText w:val="•"/>
      <w:lvlJc w:val="left"/>
      <w:pPr>
        <w:tabs>
          <w:tab w:val="num" w:pos="3600"/>
        </w:tabs>
        <w:ind w:left="3600" w:hanging="360"/>
      </w:pPr>
      <w:rPr>
        <w:rFonts w:ascii="Arial" w:hAnsi="Arial" w:hint="default"/>
      </w:rPr>
    </w:lvl>
    <w:lvl w:ilvl="5" w:tplc="B022B71A" w:tentative="1">
      <w:start w:val="1"/>
      <w:numFmt w:val="bullet"/>
      <w:lvlText w:val="•"/>
      <w:lvlJc w:val="left"/>
      <w:pPr>
        <w:tabs>
          <w:tab w:val="num" w:pos="4320"/>
        </w:tabs>
        <w:ind w:left="4320" w:hanging="360"/>
      </w:pPr>
      <w:rPr>
        <w:rFonts w:ascii="Arial" w:hAnsi="Arial" w:hint="default"/>
      </w:rPr>
    </w:lvl>
    <w:lvl w:ilvl="6" w:tplc="0972ABF0" w:tentative="1">
      <w:start w:val="1"/>
      <w:numFmt w:val="bullet"/>
      <w:lvlText w:val="•"/>
      <w:lvlJc w:val="left"/>
      <w:pPr>
        <w:tabs>
          <w:tab w:val="num" w:pos="5040"/>
        </w:tabs>
        <w:ind w:left="5040" w:hanging="360"/>
      </w:pPr>
      <w:rPr>
        <w:rFonts w:ascii="Arial" w:hAnsi="Arial" w:hint="default"/>
      </w:rPr>
    </w:lvl>
    <w:lvl w:ilvl="7" w:tplc="8858FF6A" w:tentative="1">
      <w:start w:val="1"/>
      <w:numFmt w:val="bullet"/>
      <w:lvlText w:val="•"/>
      <w:lvlJc w:val="left"/>
      <w:pPr>
        <w:tabs>
          <w:tab w:val="num" w:pos="5760"/>
        </w:tabs>
        <w:ind w:left="5760" w:hanging="360"/>
      </w:pPr>
      <w:rPr>
        <w:rFonts w:ascii="Arial" w:hAnsi="Arial" w:hint="default"/>
      </w:rPr>
    </w:lvl>
    <w:lvl w:ilvl="8" w:tplc="30BC1C8E" w:tentative="1">
      <w:start w:val="1"/>
      <w:numFmt w:val="bullet"/>
      <w:lvlText w:val="•"/>
      <w:lvlJc w:val="left"/>
      <w:pPr>
        <w:tabs>
          <w:tab w:val="num" w:pos="6480"/>
        </w:tabs>
        <w:ind w:left="6480" w:hanging="360"/>
      </w:pPr>
      <w:rPr>
        <w:rFonts w:ascii="Arial" w:hAnsi="Arial" w:hint="default"/>
      </w:rPr>
    </w:lvl>
  </w:abstractNum>
  <w:abstractNum w:abstractNumId="1">
    <w:nsid w:val="365E6D31"/>
    <w:multiLevelType w:val="hybridMultilevel"/>
    <w:tmpl w:val="5B6E0F7C"/>
    <w:lvl w:ilvl="0" w:tplc="6054FD62">
      <w:start w:val="1"/>
      <w:numFmt w:val="bullet"/>
      <w:lvlText w:val="•"/>
      <w:lvlJc w:val="left"/>
      <w:pPr>
        <w:tabs>
          <w:tab w:val="num" w:pos="720"/>
        </w:tabs>
        <w:ind w:left="720" w:hanging="360"/>
      </w:pPr>
      <w:rPr>
        <w:rFonts w:ascii="Arial" w:hAnsi="Arial" w:hint="default"/>
      </w:rPr>
    </w:lvl>
    <w:lvl w:ilvl="1" w:tplc="63A4E11C" w:tentative="1">
      <w:start w:val="1"/>
      <w:numFmt w:val="bullet"/>
      <w:lvlText w:val="•"/>
      <w:lvlJc w:val="left"/>
      <w:pPr>
        <w:tabs>
          <w:tab w:val="num" w:pos="1440"/>
        </w:tabs>
        <w:ind w:left="1440" w:hanging="360"/>
      </w:pPr>
      <w:rPr>
        <w:rFonts w:ascii="Arial" w:hAnsi="Arial" w:hint="default"/>
      </w:rPr>
    </w:lvl>
    <w:lvl w:ilvl="2" w:tplc="A2A2B1F4" w:tentative="1">
      <w:start w:val="1"/>
      <w:numFmt w:val="bullet"/>
      <w:lvlText w:val="•"/>
      <w:lvlJc w:val="left"/>
      <w:pPr>
        <w:tabs>
          <w:tab w:val="num" w:pos="2160"/>
        </w:tabs>
        <w:ind w:left="2160" w:hanging="360"/>
      </w:pPr>
      <w:rPr>
        <w:rFonts w:ascii="Arial" w:hAnsi="Arial" w:hint="default"/>
      </w:rPr>
    </w:lvl>
    <w:lvl w:ilvl="3" w:tplc="5684996E" w:tentative="1">
      <w:start w:val="1"/>
      <w:numFmt w:val="bullet"/>
      <w:lvlText w:val="•"/>
      <w:lvlJc w:val="left"/>
      <w:pPr>
        <w:tabs>
          <w:tab w:val="num" w:pos="2880"/>
        </w:tabs>
        <w:ind w:left="2880" w:hanging="360"/>
      </w:pPr>
      <w:rPr>
        <w:rFonts w:ascii="Arial" w:hAnsi="Arial" w:hint="default"/>
      </w:rPr>
    </w:lvl>
    <w:lvl w:ilvl="4" w:tplc="BE60F20A" w:tentative="1">
      <w:start w:val="1"/>
      <w:numFmt w:val="bullet"/>
      <w:lvlText w:val="•"/>
      <w:lvlJc w:val="left"/>
      <w:pPr>
        <w:tabs>
          <w:tab w:val="num" w:pos="3600"/>
        </w:tabs>
        <w:ind w:left="3600" w:hanging="360"/>
      </w:pPr>
      <w:rPr>
        <w:rFonts w:ascii="Arial" w:hAnsi="Arial" w:hint="default"/>
      </w:rPr>
    </w:lvl>
    <w:lvl w:ilvl="5" w:tplc="FD3A54B0" w:tentative="1">
      <w:start w:val="1"/>
      <w:numFmt w:val="bullet"/>
      <w:lvlText w:val="•"/>
      <w:lvlJc w:val="left"/>
      <w:pPr>
        <w:tabs>
          <w:tab w:val="num" w:pos="4320"/>
        </w:tabs>
        <w:ind w:left="4320" w:hanging="360"/>
      </w:pPr>
      <w:rPr>
        <w:rFonts w:ascii="Arial" w:hAnsi="Arial" w:hint="default"/>
      </w:rPr>
    </w:lvl>
    <w:lvl w:ilvl="6" w:tplc="7B943FDA" w:tentative="1">
      <w:start w:val="1"/>
      <w:numFmt w:val="bullet"/>
      <w:lvlText w:val="•"/>
      <w:lvlJc w:val="left"/>
      <w:pPr>
        <w:tabs>
          <w:tab w:val="num" w:pos="5040"/>
        </w:tabs>
        <w:ind w:left="5040" w:hanging="360"/>
      </w:pPr>
      <w:rPr>
        <w:rFonts w:ascii="Arial" w:hAnsi="Arial" w:hint="default"/>
      </w:rPr>
    </w:lvl>
    <w:lvl w:ilvl="7" w:tplc="EE70C22C" w:tentative="1">
      <w:start w:val="1"/>
      <w:numFmt w:val="bullet"/>
      <w:lvlText w:val="•"/>
      <w:lvlJc w:val="left"/>
      <w:pPr>
        <w:tabs>
          <w:tab w:val="num" w:pos="5760"/>
        </w:tabs>
        <w:ind w:left="5760" w:hanging="360"/>
      </w:pPr>
      <w:rPr>
        <w:rFonts w:ascii="Arial" w:hAnsi="Arial" w:hint="default"/>
      </w:rPr>
    </w:lvl>
    <w:lvl w:ilvl="8" w:tplc="C3146B4C" w:tentative="1">
      <w:start w:val="1"/>
      <w:numFmt w:val="bullet"/>
      <w:lvlText w:val="•"/>
      <w:lvlJc w:val="left"/>
      <w:pPr>
        <w:tabs>
          <w:tab w:val="num" w:pos="6480"/>
        </w:tabs>
        <w:ind w:left="6480" w:hanging="360"/>
      </w:pPr>
      <w:rPr>
        <w:rFonts w:ascii="Arial" w:hAnsi="Arial" w:hint="default"/>
      </w:rPr>
    </w:lvl>
  </w:abstractNum>
  <w:abstractNum w:abstractNumId="2">
    <w:nsid w:val="48191BE5"/>
    <w:multiLevelType w:val="hybridMultilevel"/>
    <w:tmpl w:val="C45EBD5E"/>
    <w:lvl w:ilvl="0" w:tplc="31E8E6FC">
      <w:start w:val="1"/>
      <w:numFmt w:val="bullet"/>
      <w:lvlText w:val="•"/>
      <w:lvlJc w:val="left"/>
      <w:pPr>
        <w:tabs>
          <w:tab w:val="num" w:pos="720"/>
        </w:tabs>
        <w:ind w:left="720" w:hanging="360"/>
      </w:pPr>
      <w:rPr>
        <w:rFonts w:ascii="Arial" w:hAnsi="Arial" w:hint="default"/>
      </w:rPr>
    </w:lvl>
    <w:lvl w:ilvl="1" w:tplc="D638D0D4" w:tentative="1">
      <w:start w:val="1"/>
      <w:numFmt w:val="bullet"/>
      <w:lvlText w:val="•"/>
      <w:lvlJc w:val="left"/>
      <w:pPr>
        <w:tabs>
          <w:tab w:val="num" w:pos="1440"/>
        </w:tabs>
        <w:ind w:left="1440" w:hanging="360"/>
      </w:pPr>
      <w:rPr>
        <w:rFonts w:ascii="Arial" w:hAnsi="Arial" w:hint="default"/>
      </w:rPr>
    </w:lvl>
    <w:lvl w:ilvl="2" w:tplc="DD36DC1A" w:tentative="1">
      <w:start w:val="1"/>
      <w:numFmt w:val="bullet"/>
      <w:lvlText w:val="•"/>
      <w:lvlJc w:val="left"/>
      <w:pPr>
        <w:tabs>
          <w:tab w:val="num" w:pos="2160"/>
        </w:tabs>
        <w:ind w:left="2160" w:hanging="360"/>
      </w:pPr>
      <w:rPr>
        <w:rFonts w:ascii="Arial" w:hAnsi="Arial" w:hint="default"/>
      </w:rPr>
    </w:lvl>
    <w:lvl w:ilvl="3" w:tplc="911C6816" w:tentative="1">
      <w:start w:val="1"/>
      <w:numFmt w:val="bullet"/>
      <w:lvlText w:val="•"/>
      <w:lvlJc w:val="left"/>
      <w:pPr>
        <w:tabs>
          <w:tab w:val="num" w:pos="2880"/>
        </w:tabs>
        <w:ind w:left="2880" w:hanging="360"/>
      </w:pPr>
      <w:rPr>
        <w:rFonts w:ascii="Arial" w:hAnsi="Arial" w:hint="default"/>
      </w:rPr>
    </w:lvl>
    <w:lvl w:ilvl="4" w:tplc="6AACBE3A" w:tentative="1">
      <w:start w:val="1"/>
      <w:numFmt w:val="bullet"/>
      <w:lvlText w:val="•"/>
      <w:lvlJc w:val="left"/>
      <w:pPr>
        <w:tabs>
          <w:tab w:val="num" w:pos="3600"/>
        </w:tabs>
        <w:ind w:left="3600" w:hanging="360"/>
      </w:pPr>
      <w:rPr>
        <w:rFonts w:ascii="Arial" w:hAnsi="Arial" w:hint="default"/>
      </w:rPr>
    </w:lvl>
    <w:lvl w:ilvl="5" w:tplc="32A8A75C" w:tentative="1">
      <w:start w:val="1"/>
      <w:numFmt w:val="bullet"/>
      <w:lvlText w:val="•"/>
      <w:lvlJc w:val="left"/>
      <w:pPr>
        <w:tabs>
          <w:tab w:val="num" w:pos="4320"/>
        </w:tabs>
        <w:ind w:left="4320" w:hanging="360"/>
      </w:pPr>
      <w:rPr>
        <w:rFonts w:ascii="Arial" w:hAnsi="Arial" w:hint="default"/>
      </w:rPr>
    </w:lvl>
    <w:lvl w:ilvl="6" w:tplc="EF36B294" w:tentative="1">
      <w:start w:val="1"/>
      <w:numFmt w:val="bullet"/>
      <w:lvlText w:val="•"/>
      <w:lvlJc w:val="left"/>
      <w:pPr>
        <w:tabs>
          <w:tab w:val="num" w:pos="5040"/>
        </w:tabs>
        <w:ind w:left="5040" w:hanging="360"/>
      </w:pPr>
      <w:rPr>
        <w:rFonts w:ascii="Arial" w:hAnsi="Arial" w:hint="default"/>
      </w:rPr>
    </w:lvl>
    <w:lvl w:ilvl="7" w:tplc="5B068E9E" w:tentative="1">
      <w:start w:val="1"/>
      <w:numFmt w:val="bullet"/>
      <w:lvlText w:val="•"/>
      <w:lvlJc w:val="left"/>
      <w:pPr>
        <w:tabs>
          <w:tab w:val="num" w:pos="5760"/>
        </w:tabs>
        <w:ind w:left="5760" w:hanging="360"/>
      </w:pPr>
      <w:rPr>
        <w:rFonts w:ascii="Arial" w:hAnsi="Arial" w:hint="default"/>
      </w:rPr>
    </w:lvl>
    <w:lvl w:ilvl="8" w:tplc="AF1428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97"/>
    <w:rsid w:val="00093771"/>
    <w:rsid w:val="000D6FD1"/>
    <w:rsid w:val="0017477D"/>
    <w:rsid w:val="00180962"/>
    <w:rsid w:val="001A12C7"/>
    <w:rsid w:val="001D6EAD"/>
    <w:rsid w:val="001F6CB9"/>
    <w:rsid w:val="002460BF"/>
    <w:rsid w:val="002F581E"/>
    <w:rsid w:val="003C380A"/>
    <w:rsid w:val="00437597"/>
    <w:rsid w:val="00496DD0"/>
    <w:rsid w:val="005D28F2"/>
    <w:rsid w:val="0062219E"/>
    <w:rsid w:val="006271EE"/>
    <w:rsid w:val="006617F3"/>
    <w:rsid w:val="006868ED"/>
    <w:rsid w:val="006B1D4E"/>
    <w:rsid w:val="00707074"/>
    <w:rsid w:val="00757613"/>
    <w:rsid w:val="00820131"/>
    <w:rsid w:val="00865AB2"/>
    <w:rsid w:val="00882D0A"/>
    <w:rsid w:val="00886440"/>
    <w:rsid w:val="0089659C"/>
    <w:rsid w:val="008A7F82"/>
    <w:rsid w:val="008D1C3C"/>
    <w:rsid w:val="008D3845"/>
    <w:rsid w:val="0091274B"/>
    <w:rsid w:val="00915049"/>
    <w:rsid w:val="00926B01"/>
    <w:rsid w:val="00926F3E"/>
    <w:rsid w:val="0095766E"/>
    <w:rsid w:val="00A22668"/>
    <w:rsid w:val="00A63D80"/>
    <w:rsid w:val="00AD06BE"/>
    <w:rsid w:val="00AE05F8"/>
    <w:rsid w:val="00AF7DC6"/>
    <w:rsid w:val="00BB4629"/>
    <w:rsid w:val="00BC7738"/>
    <w:rsid w:val="00BF3502"/>
    <w:rsid w:val="00C0661B"/>
    <w:rsid w:val="00C51A93"/>
    <w:rsid w:val="00CA4769"/>
    <w:rsid w:val="00D745D7"/>
    <w:rsid w:val="00E0327F"/>
    <w:rsid w:val="00E1048D"/>
    <w:rsid w:val="00E67BBB"/>
    <w:rsid w:val="00E97CAB"/>
    <w:rsid w:val="00EB5FBC"/>
    <w:rsid w:val="00F373ED"/>
    <w:rsid w:val="00F710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38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D80"/>
    <w:rPr>
      <w:lang w:val="en-GB"/>
    </w:rPr>
  </w:style>
  <w:style w:type="paragraph" w:styleId="Heading1">
    <w:name w:val="heading 1"/>
    <w:basedOn w:val="Normal"/>
    <w:next w:val="Normal"/>
    <w:link w:val="Heading1Char"/>
    <w:uiPriority w:val="9"/>
    <w:qFormat/>
    <w:rsid w:val="004375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7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3764">
      <w:bodyDiv w:val="1"/>
      <w:marLeft w:val="0"/>
      <w:marRight w:val="0"/>
      <w:marTop w:val="0"/>
      <w:marBottom w:val="0"/>
      <w:divBdr>
        <w:top w:val="none" w:sz="0" w:space="0" w:color="auto"/>
        <w:left w:val="none" w:sz="0" w:space="0" w:color="auto"/>
        <w:bottom w:val="none" w:sz="0" w:space="0" w:color="auto"/>
        <w:right w:val="none" w:sz="0" w:space="0" w:color="auto"/>
      </w:divBdr>
      <w:divsChild>
        <w:div w:id="1629429081">
          <w:marLeft w:val="360"/>
          <w:marRight w:val="0"/>
          <w:marTop w:val="0"/>
          <w:marBottom w:val="0"/>
          <w:divBdr>
            <w:top w:val="none" w:sz="0" w:space="0" w:color="auto"/>
            <w:left w:val="none" w:sz="0" w:space="0" w:color="auto"/>
            <w:bottom w:val="none" w:sz="0" w:space="0" w:color="auto"/>
            <w:right w:val="none" w:sz="0" w:space="0" w:color="auto"/>
          </w:divBdr>
        </w:div>
        <w:div w:id="445393059">
          <w:marLeft w:val="360"/>
          <w:marRight w:val="0"/>
          <w:marTop w:val="0"/>
          <w:marBottom w:val="0"/>
          <w:divBdr>
            <w:top w:val="none" w:sz="0" w:space="0" w:color="auto"/>
            <w:left w:val="none" w:sz="0" w:space="0" w:color="auto"/>
            <w:bottom w:val="none" w:sz="0" w:space="0" w:color="auto"/>
            <w:right w:val="none" w:sz="0" w:space="0" w:color="auto"/>
          </w:divBdr>
        </w:div>
        <w:div w:id="982779792">
          <w:marLeft w:val="360"/>
          <w:marRight w:val="0"/>
          <w:marTop w:val="0"/>
          <w:marBottom w:val="0"/>
          <w:divBdr>
            <w:top w:val="none" w:sz="0" w:space="0" w:color="auto"/>
            <w:left w:val="none" w:sz="0" w:space="0" w:color="auto"/>
            <w:bottom w:val="none" w:sz="0" w:space="0" w:color="auto"/>
            <w:right w:val="none" w:sz="0" w:space="0" w:color="auto"/>
          </w:divBdr>
        </w:div>
        <w:div w:id="1899171969">
          <w:marLeft w:val="360"/>
          <w:marRight w:val="0"/>
          <w:marTop w:val="0"/>
          <w:marBottom w:val="0"/>
          <w:divBdr>
            <w:top w:val="none" w:sz="0" w:space="0" w:color="auto"/>
            <w:left w:val="none" w:sz="0" w:space="0" w:color="auto"/>
            <w:bottom w:val="none" w:sz="0" w:space="0" w:color="auto"/>
            <w:right w:val="none" w:sz="0" w:space="0" w:color="auto"/>
          </w:divBdr>
        </w:div>
        <w:div w:id="351496971">
          <w:marLeft w:val="360"/>
          <w:marRight w:val="0"/>
          <w:marTop w:val="0"/>
          <w:marBottom w:val="0"/>
          <w:divBdr>
            <w:top w:val="none" w:sz="0" w:space="0" w:color="auto"/>
            <w:left w:val="none" w:sz="0" w:space="0" w:color="auto"/>
            <w:bottom w:val="none" w:sz="0" w:space="0" w:color="auto"/>
            <w:right w:val="none" w:sz="0" w:space="0" w:color="auto"/>
          </w:divBdr>
        </w:div>
        <w:div w:id="1143159520">
          <w:marLeft w:val="360"/>
          <w:marRight w:val="0"/>
          <w:marTop w:val="0"/>
          <w:marBottom w:val="0"/>
          <w:divBdr>
            <w:top w:val="none" w:sz="0" w:space="0" w:color="auto"/>
            <w:left w:val="none" w:sz="0" w:space="0" w:color="auto"/>
            <w:bottom w:val="none" w:sz="0" w:space="0" w:color="auto"/>
            <w:right w:val="none" w:sz="0" w:space="0" w:color="auto"/>
          </w:divBdr>
        </w:div>
      </w:divsChild>
    </w:div>
    <w:div w:id="1447189888">
      <w:bodyDiv w:val="1"/>
      <w:marLeft w:val="0"/>
      <w:marRight w:val="0"/>
      <w:marTop w:val="0"/>
      <w:marBottom w:val="0"/>
      <w:divBdr>
        <w:top w:val="none" w:sz="0" w:space="0" w:color="auto"/>
        <w:left w:val="none" w:sz="0" w:space="0" w:color="auto"/>
        <w:bottom w:val="none" w:sz="0" w:space="0" w:color="auto"/>
        <w:right w:val="none" w:sz="0" w:space="0" w:color="auto"/>
      </w:divBdr>
      <w:divsChild>
        <w:div w:id="463425914">
          <w:marLeft w:val="360"/>
          <w:marRight w:val="0"/>
          <w:marTop w:val="0"/>
          <w:marBottom w:val="0"/>
          <w:divBdr>
            <w:top w:val="none" w:sz="0" w:space="0" w:color="auto"/>
            <w:left w:val="none" w:sz="0" w:space="0" w:color="auto"/>
            <w:bottom w:val="none" w:sz="0" w:space="0" w:color="auto"/>
            <w:right w:val="none" w:sz="0" w:space="0" w:color="auto"/>
          </w:divBdr>
        </w:div>
        <w:div w:id="1966111615">
          <w:marLeft w:val="360"/>
          <w:marRight w:val="0"/>
          <w:marTop w:val="0"/>
          <w:marBottom w:val="0"/>
          <w:divBdr>
            <w:top w:val="none" w:sz="0" w:space="0" w:color="auto"/>
            <w:left w:val="none" w:sz="0" w:space="0" w:color="auto"/>
            <w:bottom w:val="none" w:sz="0" w:space="0" w:color="auto"/>
            <w:right w:val="none" w:sz="0" w:space="0" w:color="auto"/>
          </w:divBdr>
        </w:div>
        <w:div w:id="594679150">
          <w:marLeft w:val="360"/>
          <w:marRight w:val="0"/>
          <w:marTop w:val="0"/>
          <w:marBottom w:val="0"/>
          <w:divBdr>
            <w:top w:val="none" w:sz="0" w:space="0" w:color="auto"/>
            <w:left w:val="none" w:sz="0" w:space="0" w:color="auto"/>
            <w:bottom w:val="none" w:sz="0" w:space="0" w:color="auto"/>
            <w:right w:val="none" w:sz="0" w:space="0" w:color="auto"/>
          </w:divBdr>
        </w:div>
        <w:div w:id="2042976490">
          <w:marLeft w:val="360"/>
          <w:marRight w:val="0"/>
          <w:marTop w:val="0"/>
          <w:marBottom w:val="0"/>
          <w:divBdr>
            <w:top w:val="none" w:sz="0" w:space="0" w:color="auto"/>
            <w:left w:val="none" w:sz="0" w:space="0" w:color="auto"/>
            <w:bottom w:val="none" w:sz="0" w:space="0" w:color="auto"/>
            <w:right w:val="none" w:sz="0" w:space="0" w:color="auto"/>
          </w:divBdr>
        </w:div>
        <w:div w:id="1440951304">
          <w:marLeft w:val="360"/>
          <w:marRight w:val="0"/>
          <w:marTop w:val="0"/>
          <w:marBottom w:val="0"/>
          <w:divBdr>
            <w:top w:val="none" w:sz="0" w:space="0" w:color="auto"/>
            <w:left w:val="none" w:sz="0" w:space="0" w:color="auto"/>
            <w:bottom w:val="none" w:sz="0" w:space="0" w:color="auto"/>
            <w:right w:val="none" w:sz="0" w:space="0" w:color="auto"/>
          </w:divBdr>
        </w:div>
      </w:divsChild>
    </w:div>
    <w:div w:id="1920093708">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9">
          <w:marLeft w:val="360"/>
          <w:marRight w:val="0"/>
          <w:marTop w:val="0"/>
          <w:marBottom w:val="0"/>
          <w:divBdr>
            <w:top w:val="none" w:sz="0" w:space="0" w:color="auto"/>
            <w:left w:val="none" w:sz="0" w:space="0" w:color="auto"/>
            <w:bottom w:val="none" w:sz="0" w:space="0" w:color="auto"/>
            <w:right w:val="none" w:sz="0" w:space="0" w:color="auto"/>
          </w:divBdr>
        </w:div>
        <w:div w:id="2010787205">
          <w:marLeft w:val="360"/>
          <w:marRight w:val="0"/>
          <w:marTop w:val="0"/>
          <w:marBottom w:val="0"/>
          <w:divBdr>
            <w:top w:val="none" w:sz="0" w:space="0" w:color="auto"/>
            <w:left w:val="none" w:sz="0" w:space="0" w:color="auto"/>
            <w:bottom w:val="none" w:sz="0" w:space="0" w:color="auto"/>
            <w:right w:val="none" w:sz="0" w:space="0" w:color="auto"/>
          </w:divBdr>
        </w:div>
        <w:div w:id="1601257776">
          <w:marLeft w:val="360"/>
          <w:marRight w:val="0"/>
          <w:marTop w:val="0"/>
          <w:marBottom w:val="0"/>
          <w:divBdr>
            <w:top w:val="none" w:sz="0" w:space="0" w:color="auto"/>
            <w:left w:val="none" w:sz="0" w:space="0" w:color="auto"/>
            <w:bottom w:val="none" w:sz="0" w:space="0" w:color="auto"/>
            <w:right w:val="none" w:sz="0" w:space="0" w:color="auto"/>
          </w:divBdr>
        </w:div>
        <w:div w:id="1892380308">
          <w:marLeft w:val="360"/>
          <w:marRight w:val="0"/>
          <w:marTop w:val="0"/>
          <w:marBottom w:val="0"/>
          <w:divBdr>
            <w:top w:val="none" w:sz="0" w:space="0" w:color="auto"/>
            <w:left w:val="none" w:sz="0" w:space="0" w:color="auto"/>
            <w:bottom w:val="none" w:sz="0" w:space="0" w:color="auto"/>
            <w:right w:val="none" w:sz="0" w:space="0" w:color="auto"/>
          </w:divBdr>
        </w:div>
        <w:div w:id="1064598421">
          <w:marLeft w:val="360"/>
          <w:marRight w:val="0"/>
          <w:marTop w:val="0"/>
          <w:marBottom w:val="0"/>
          <w:divBdr>
            <w:top w:val="none" w:sz="0" w:space="0" w:color="auto"/>
            <w:left w:val="none" w:sz="0" w:space="0" w:color="auto"/>
            <w:bottom w:val="none" w:sz="0" w:space="0" w:color="auto"/>
            <w:right w:val="none" w:sz="0" w:space="0" w:color="auto"/>
          </w:divBdr>
        </w:div>
        <w:div w:id="296423997">
          <w:marLeft w:val="360"/>
          <w:marRight w:val="0"/>
          <w:marTop w:val="0"/>
          <w:marBottom w:val="0"/>
          <w:divBdr>
            <w:top w:val="none" w:sz="0" w:space="0" w:color="auto"/>
            <w:left w:val="none" w:sz="0" w:space="0" w:color="auto"/>
            <w:bottom w:val="none" w:sz="0" w:space="0" w:color="auto"/>
            <w:right w:val="none" w:sz="0" w:space="0" w:color="auto"/>
          </w:divBdr>
        </w:div>
        <w:div w:id="1254701754">
          <w:marLeft w:val="360"/>
          <w:marRight w:val="0"/>
          <w:marTop w:val="0"/>
          <w:marBottom w:val="0"/>
          <w:divBdr>
            <w:top w:val="none" w:sz="0" w:space="0" w:color="auto"/>
            <w:left w:val="none" w:sz="0" w:space="0" w:color="auto"/>
            <w:bottom w:val="none" w:sz="0" w:space="0" w:color="auto"/>
            <w:right w:val="none" w:sz="0" w:space="0" w:color="auto"/>
          </w:divBdr>
        </w:div>
        <w:div w:id="795828247">
          <w:marLeft w:val="360"/>
          <w:marRight w:val="0"/>
          <w:marTop w:val="0"/>
          <w:marBottom w:val="0"/>
          <w:divBdr>
            <w:top w:val="none" w:sz="0" w:space="0" w:color="auto"/>
            <w:left w:val="none" w:sz="0" w:space="0" w:color="auto"/>
            <w:bottom w:val="none" w:sz="0" w:space="0" w:color="auto"/>
            <w:right w:val="none" w:sz="0" w:space="0" w:color="auto"/>
          </w:divBdr>
        </w:div>
        <w:div w:id="438841881">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845</Words>
  <Characters>4818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Disadvantaged Pupil Case Study</vt:lpstr>
    </vt:vector>
  </TitlesOfParts>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2017-06-11T09:37:00Z</dcterms:created>
  <dcterms:modified xsi:type="dcterms:W3CDTF">2017-06-11T09:47:00Z</dcterms:modified>
</cp:coreProperties>
</file>