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87" w:rsidRPr="004403EA" w:rsidRDefault="00B93E0C" w:rsidP="00B93E0C">
      <w:pPr>
        <w:jc w:val="center"/>
        <w:rPr>
          <w:rFonts w:ascii="Arial" w:hAnsi="Arial" w:cs="Arial"/>
          <w:b/>
          <w:sz w:val="32"/>
          <w:szCs w:val="32"/>
        </w:rPr>
      </w:pPr>
      <w:r w:rsidRPr="004403EA">
        <w:rPr>
          <w:rFonts w:ascii="Arial" w:hAnsi="Arial" w:cs="Arial"/>
          <w:b/>
          <w:sz w:val="32"/>
          <w:szCs w:val="32"/>
        </w:rPr>
        <w:t>DELEGATED SCHOOL BUDGET</w:t>
      </w:r>
      <w:r w:rsidR="005B05C1">
        <w:rPr>
          <w:rFonts w:ascii="Arial" w:hAnsi="Arial" w:cs="Arial"/>
          <w:b/>
          <w:sz w:val="32"/>
          <w:szCs w:val="32"/>
        </w:rPr>
        <w:t xml:space="preserve"> GUIDANCE</w:t>
      </w:r>
      <w:r w:rsidRPr="004403EA">
        <w:rPr>
          <w:rFonts w:ascii="Arial" w:hAnsi="Arial" w:cs="Arial"/>
          <w:b/>
          <w:sz w:val="32"/>
          <w:szCs w:val="32"/>
        </w:rPr>
        <w:t xml:space="preserve"> </w:t>
      </w:r>
      <w:r w:rsidR="00D21510" w:rsidRPr="004403EA">
        <w:rPr>
          <w:rFonts w:ascii="Arial" w:hAnsi="Arial" w:cs="Arial"/>
          <w:b/>
          <w:sz w:val="32"/>
          <w:szCs w:val="32"/>
        </w:rPr>
        <w:t>201</w:t>
      </w:r>
      <w:r w:rsidR="005B05C1">
        <w:rPr>
          <w:rFonts w:ascii="Arial" w:hAnsi="Arial" w:cs="Arial"/>
          <w:b/>
          <w:sz w:val="32"/>
          <w:szCs w:val="32"/>
        </w:rPr>
        <w:t>7</w:t>
      </w:r>
      <w:r w:rsidR="00BB3FAD">
        <w:rPr>
          <w:rFonts w:ascii="Arial" w:hAnsi="Arial" w:cs="Arial"/>
          <w:b/>
          <w:sz w:val="32"/>
          <w:szCs w:val="32"/>
        </w:rPr>
        <w:t>-</w:t>
      </w:r>
      <w:r w:rsidR="00D21510" w:rsidRPr="004403EA">
        <w:rPr>
          <w:rFonts w:ascii="Arial" w:hAnsi="Arial" w:cs="Arial"/>
          <w:b/>
          <w:sz w:val="32"/>
          <w:szCs w:val="32"/>
        </w:rPr>
        <w:t>1</w:t>
      </w:r>
      <w:r w:rsidR="005B05C1">
        <w:rPr>
          <w:rFonts w:ascii="Arial" w:hAnsi="Arial" w:cs="Arial"/>
          <w:b/>
          <w:sz w:val="32"/>
          <w:szCs w:val="32"/>
        </w:rPr>
        <w:t>8</w:t>
      </w:r>
    </w:p>
    <w:p w:rsidR="00B93E0C" w:rsidRDefault="00B93E0C" w:rsidP="00B93E0C">
      <w:pPr>
        <w:jc w:val="center"/>
        <w:rPr>
          <w:rFonts w:ascii="Arial" w:hAnsi="Arial" w:cs="Arial"/>
          <w:b/>
        </w:rPr>
      </w:pPr>
      <w:bookmarkStart w:id="0" w:name="_GoBack"/>
      <w:bookmarkEnd w:id="0"/>
    </w:p>
    <w:p w:rsidR="004403EA" w:rsidRDefault="004403EA" w:rsidP="00B93E0C">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186"/>
      </w:tblGrid>
      <w:tr w:rsidR="00B93E0C" w:rsidTr="00D47535">
        <w:tc>
          <w:tcPr>
            <w:tcW w:w="1668" w:type="dxa"/>
          </w:tcPr>
          <w:p w:rsidR="00B93E0C" w:rsidRPr="00D47535" w:rsidRDefault="00B93E0C" w:rsidP="00B93E0C">
            <w:pPr>
              <w:rPr>
                <w:rFonts w:ascii="Arial" w:hAnsi="Arial" w:cs="Arial"/>
                <w:b/>
              </w:rPr>
            </w:pPr>
            <w:r w:rsidRPr="00D47535">
              <w:rPr>
                <w:rFonts w:ascii="Arial" w:hAnsi="Arial" w:cs="Arial"/>
                <w:b/>
              </w:rPr>
              <w:t>Section</w:t>
            </w:r>
          </w:p>
        </w:tc>
        <w:tc>
          <w:tcPr>
            <w:tcW w:w="8186" w:type="dxa"/>
          </w:tcPr>
          <w:p w:rsidR="00B93E0C" w:rsidRPr="00D47535" w:rsidRDefault="00B93E0C" w:rsidP="00B93E0C">
            <w:pPr>
              <w:rPr>
                <w:rFonts w:ascii="Arial" w:hAnsi="Arial" w:cs="Arial"/>
                <w:b/>
              </w:rPr>
            </w:pPr>
            <w:r w:rsidRPr="00D47535">
              <w:rPr>
                <w:rFonts w:ascii="Arial" w:hAnsi="Arial" w:cs="Arial"/>
                <w:b/>
              </w:rPr>
              <w:t>Heading</w:t>
            </w:r>
          </w:p>
        </w:tc>
      </w:tr>
      <w:tr w:rsidR="00B93E0C" w:rsidTr="00D47535">
        <w:tc>
          <w:tcPr>
            <w:tcW w:w="1668" w:type="dxa"/>
          </w:tcPr>
          <w:p w:rsidR="00B93E0C" w:rsidRPr="00D47535" w:rsidRDefault="00757CC5" w:rsidP="00D47535">
            <w:pPr>
              <w:spacing w:before="240" w:after="240"/>
              <w:rPr>
                <w:rFonts w:ascii="Arial" w:hAnsi="Arial" w:cs="Arial"/>
                <w:b/>
              </w:rPr>
            </w:pPr>
            <w:r>
              <w:rPr>
                <w:rFonts w:ascii="Arial" w:hAnsi="Arial" w:cs="Arial"/>
                <w:b/>
              </w:rPr>
              <w:t>A</w:t>
            </w:r>
          </w:p>
        </w:tc>
        <w:tc>
          <w:tcPr>
            <w:tcW w:w="8186" w:type="dxa"/>
          </w:tcPr>
          <w:p w:rsidR="00757CC5" w:rsidRPr="00D47535" w:rsidRDefault="0013009B" w:rsidP="00757CC5">
            <w:pPr>
              <w:spacing w:before="240" w:after="240"/>
              <w:rPr>
                <w:rFonts w:ascii="Arial" w:hAnsi="Arial" w:cs="Arial"/>
                <w:b/>
              </w:rPr>
            </w:pPr>
            <w:hyperlink w:anchor="SectionA" w:history="1">
              <w:r w:rsidR="004403EA" w:rsidRPr="00D47535">
                <w:rPr>
                  <w:rStyle w:val="Hyperlink"/>
                  <w:rFonts w:ascii="Arial" w:hAnsi="Arial" w:cs="Arial"/>
                  <w:b/>
                </w:rPr>
                <w:t>IMPORTANT INFORMATION</w:t>
              </w:r>
            </w:hyperlink>
          </w:p>
        </w:tc>
      </w:tr>
      <w:tr w:rsidR="00757CC5" w:rsidTr="00D47535">
        <w:tc>
          <w:tcPr>
            <w:tcW w:w="1668" w:type="dxa"/>
          </w:tcPr>
          <w:p w:rsidR="00757CC5" w:rsidRDefault="00757CC5" w:rsidP="00D47535">
            <w:pPr>
              <w:spacing w:before="240" w:after="240"/>
              <w:rPr>
                <w:rFonts w:ascii="Arial" w:hAnsi="Arial" w:cs="Arial"/>
                <w:b/>
              </w:rPr>
            </w:pPr>
            <w:r>
              <w:rPr>
                <w:rFonts w:ascii="Arial" w:hAnsi="Arial" w:cs="Arial"/>
                <w:b/>
              </w:rPr>
              <w:t>B</w:t>
            </w:r>
          </w:p>
        </w:tc>
        <w:tc>
          <w:tcPr>
            <w:tcW w:w="8186" w:type="dxa"/>
          </w:tcPr>
          <w:p w:rsidR="00757CC5" w:rsidRDefault="0013009B" w:rsidP="00757CC5">
            <w:pPr>
              <w:spacing w:before="240" w:after="240"/>
            </w:pPr>
            <w:hyperlink w:anchor="SectionB" w:history="1">
              <w:r w:rsidR="00757CC5" w:rsidRPr="00D47535">
                <w:rPr>
                  <w:rStyle w:val="Hyperlink"/>
                  <w:rFonts w:ascii="Arial" w:hAnsi="Arial" w:cs="Arial"/>
                  <w:b/>
                </w:rPr>
                <w:t>BUDGET HEADLINES</w:t>
              </w:r>
            </w:hyperlink>
          </w:p>
        </w:tc>
      </w:tr>
      <w:tr w:rsidR="00757CC5" w:rsidTr="00D47535">
        <w:tc>
          <w:tcPr>
            <w:tcW w:w="1668" w:type="dxa"/>
          </w:tcPr>
          <w:p w:rsidR="00757CC5" w:rsidRDefault="00757CC5" w:rsidP="00D47535">
            <w:pPr>
              <w:spacing w:before="240" w:after="240"/>
              <w:rPr>
                <w:rFonts w:ascii="Arial" w:hAnsi="Arial" w:cs="Arial"/>
                <w:b/>
              </w:rPr>
            </w:pPr>
            <w:r>
              <w:rPr>
                <w:rFonts w:ascii="Arial" w:hAnsi="Arial" w:cs="Arial"/>
                <w:b/>
              </w:rPr>
              <w:t>C</w:t>
            </w:r>
          </w:p>
        </w:tc>
        <w:tc>
          <w:tcPr>
            <w:tcW w:w="8186" w:type="dxa"/>
          </w:tcPr>
          <w:p w:rsidR="00757CC5" w:rsidRDefault="0013009B" w:rsidP="00757CC5">
            <w:pPr>
              <w:spacing w:before="240" w:after="240"/>
              <w:rPr>
                <w:rFonts w:ascii="Arial" w:hAnsi="Arial" w:cs="Arial"/>
                <w:b/>
              </w:rPr>
            </w:pPr>
            <w:hyperlink w:anchor="SectionC" w:history="1">
              <w:r w:rsidR="00757CC5" w:rsidRPr="008343F8">
                <w:rPr>
                  <w:rStyle w:val="Hyperlink"/>
                  <w:rFonts w:ascii="Arial" w:hAnsi="Arial" w:cs="Arial"/>
                  <w:b/>
                </w:rPr>
                <w:t>GENERAL INFORMATION (APPLIES TO ALL SCHOOLS)</w:t>
              </w:r>
            </w:hyperlink>
          </w:p>
          <w:p w:rsidR="00240A2A" w:rsidRPr="00240A2A" w:rsidRDefault="0013009B" w:rsidP="00240A2A">
            <w:pPr>
              <w:pStyle w:val="ListParagraph"/>
              <w:numPr>
                <w:ilvl w:val="0"/>
                <w:numId w:val="8"/>
              </w:numPr>
              <w:spacing w:before="120" w:after="120"/>
              <w:rPr>
                <w:rStyle w:val="Hyperlink"/>
                <w:rFonts w:ascii="Arial" w:hAnsi="Arial" w:cs="Arial"/>
              </w:rPr>
            </w:pPr>
            <w:hyperlink w:anchor="SectionCIns" w:history="1">
              <w:r w:rsidR="008343F8" w:rsidRPr="00692E9F">
                <w:rPr>
                  <w:rStyle w:val="Hyperlink"/>
                  <w:rFonts w:ascii="Arial" w:hAnsi="Arial" w:cs="Arial"/>
                </w:rPr>
                <w:t>Insurance</w:t>
              </w:r>
            </w:hyperlink>
          </w:p>
          <w:p w:rsidR="008343F8" w:rsidRPr="009B30F1" w:rsidRDefault="0013009B" w:rsidP="009B30F1">
            <w:pPr>
              <w:pStyle w:val="ListParagraph"/>
              <w:numPr>
                <w:ilvl w:val="0"/>
                <w:numId w:val="8"/>
              </w:numPr>
              <w:spacing w:before="120" w:after="120"/>
              <w:rPr>
                <w:rStyle w:val="Hyperlink"/>
                <w:rFonts w:ascii="Arial" w:hAnsi="Arial" w:cs="Arial"/>
              </w:rPr>
            </w:pPr>
            <w:hyperlink w:anchor="SectionCDFC" w:history="1">
              <w:r w:rsidR="008343F8" w:rsidRPr="00692E9F">
                <w:rPr>
                  <w:rStyle w:val="Hyperlink"/>
                  <w:rFonts w:ascii="Arial" w:hAnsi="Arial" w:cs="Arial"/>
                </w:rPr>
                <w:t>Devolved Formula Capital (DFC)</w:t>
              </w:r>
            </w:hyperlink>
          </w:p>
          <w:p w:rsidR="008343F8" w:rsidRPr="00240A2A" w:rsidRDefault="0013009B" w:rsidP="009B30F1">
            <w:pPr>
              <w:pStyle w:val="ListParagraph"/>
              <w:numPr>
                <w:ilvl w:val="0"/>
                <w:numId w:val="8"/>
              </w:numPr>
              <w:spacing w:before="120" w:after="240"/>
              <w:rPr>
                <w:rFonts w:ascii="Arial" w:hAnsi="Arial" w:cs="Arial"/>
                <w:b/>
              </w:rPr>
            </w:pPr>
            <w:hyperlink w:anchor="SectionCPP" w:history="1">
              <w:r w:rsidR="008343F8" w:rsidRPr="00692E9F">
                <w:rPr>
                  <w:rStyle w:val="Hyperlink"/>
                  <w:rFonts w:ascii="Arial" w:hAnsi="Arial" w:cs="Arial"/>
                </w:rPr>
                <w:t>Pupil Premium (PP)</w:t>
              </w:r>
            </w:hyperlink>
          </w:p>
          <w:p w:rsidR="00240A2A" w:rsidRPr="005B17FD" w:rsidRDefault="005B17FD" w:rsidP="009B30F1">
            <w:pPr>
              <w:pStyle w:val="ListParagraph"/>
              <w:numPr>
                <w:ilvl w:val="0"/>
                <w:numId w:val="8"/>
              </w:numPr>
              <w:spacing w:before="120" w:after="240"/>
              <w:rPr>
                <w:rStyle w:val="Hyperlink"/>
                <w:rFonts w:ascii="Arial" w:hAnsi="Arial" w:cs="Arial"/>
                <w:b/>
              </w:rPr>
            </w:pPr>
            <w:r>
              <w:rPr>
                <w:rFonts w:ascii="Arial" w:hAnsi="Arial" w:cs="Arial"/>
              </w:rPr>
              <w:fldChar w:fldCharType="begin"/>
            </w:r>
            <w:r>
              <w:rPr>
                <w:rFonts w:ascii="Arial" w:hAnsi="Arial" w:cs="Arial"/>
              </w:rPr>
              <w:instrText xml:space="preserve"> HYPERLINK  \l "SectionCUIFSM" </w:instrText>
            </w:r>
            <w:r>
              <w:rPr>
                <w:rFonts w:ascii="Arial" w:hAnsi="Arial" w:cs="Arial"/>
              </w:rPr>
              <w:fldChar w:fldCharType="separate"/>
            </w:r>
            <w:r w:rsidR="00D02BFA" w:rsidRPr="005B17FD">
              <w:rPr>
                <w:rStyle w:val="Hyperlink"/>
                <w:rFonts w:ascii="Arial" w:hAnsi="Arial" w:cs="Arial"/>
              </w:rPr>
              <w:t>Universal Infant Free School Meals</w:t>
            </w:r>
          </w:p>
          <w:p w:rsidR="003719F3" w:rsidRPr="00897115" w:rsidRDefault="005B17FD" w:rsidP="009B30F1">
            <w:pPr>
              <w:pStyle w:val="ListParagraph"/>
              <w:numPr>
                <w:ilvl w:val="0"/>
                <w:numId w:val="8"/>
              </w:numPr>
              <w:spacing w:before="120" w:after="240"/>
              <w:rPr>
                <w:rStyle w:val="Hyperlink"/>
                <w:rFonts w:ascii="Arial" w:hAnsi="Arial" w:cs="Arial"/>
                <w:b/>
                <w:color w:val="auto"/>
                <w:u w:val="none"/>
              </w:rPr>
            </w:pPr>
            <w:r>
              <w:rPr>
                <w:rFonts w:ascii="Arial" w:hAnsi="Arial" w:cs="Arial"/>
              </w:rPr>
              <w:fldChar w:fldCharType="end"/>
            </w:r>
            <w:hyperlink w:anchor="SectionCYr7CUp" w:history="1">
              <w:r w:rsidR="003719F3" w:rsidRPr="003719F3">
                <w:rPr>
                  <w:rStyle w:val="Hyperlink"/>
                  <w:rFonts w:ascii="Arial" w:hAnsi="Arial" w:cs="Arial"/>
                </w:rPr>
                <w:t>Year 7 Catch up funding</w:t>
              </w:r>
            </w:hyperlink>
          </w:p>
          <w:p w:rsidR="00897115" w:rsidRPr="00757CC5" w:rsidRDefault="0013009B" w:rsidP="009B30F1">
            <w:pPr>
              <w:pStyle w:val="ListParagraph"/>
              <w:numPr>
                <w:ilvl w:val="0"/>
                <w:numId w:val="8"/>
              </w:numPr>
              <w:spacing w:before="120" w:after="240"/>
              <w:rPr>
                <w:rFonts w:ascii="Arial" w:hAnsi="Arial" w:cs="Arial"/>
                <w:b/>
              </w:rPr>
            </w:pPr>
            <w:hyperlink w:anchor="SectionPEGrant" w:history="1">
              <w:r w:rsidR="00897115" w:rsidRPr="00F375FE">
                <w:rPr>
                  <w:rStyle w:val="Hyperlink"/>
                  <w:rFonts w:ascii="Arial" w:hAnsi="Arial" w:cs="Arial"/>
                </w:rPr>
                <w:t>Primary PE and Sports Premium Grant</w:t>
              </w:r>
            </w:hyperlink>
          </w:p>
        </w:tc>
      </w:tr>
      <w:tr w:rsidR="00B93E0C" w:rsidTr="00D47535">
        <w:tc>
          <w:tcPr>
            <w:tcW w:w="1668" w:type="dxa"/>
          </w:tcPr>
          <w:p w:rsidR="00B93E0C" w:rsidRPr="00D47535" w:rsidRDefault="00757CC5" w:rsidP="00D47535">
            <w:pPr>
              <w:spacing w:before="120" w:after="120"/>
              <w:rPr>
                <w:rFonts w:ascii="Arial" w:hAnsi="Arial" w:cs="Arial"/>
                <w:b/>
              </w:rPr>
            </w:pPr>
            <w:r>
              <w:rPr>
                <w:rFonts w:ascii="Arial" w:hAnsi="Arial" w:cs="Arial"/>
                <w:b/>
              </w:rPr>
              <w:t>D</w:t>
            </w:r>
          </w:p>
        </w:tc>
        <w:tc>
          <w:tcPr>
            <w:tcW w:w="8186" w:type="dxa"/>
          </w:tcPr>
          <w:p w:rsidR="00BE07BA" w:rsidRPr="00BE07BA" w:rsidRDefault="0013009B" w:rsidP="00D47535">
            <w:pPr>
              <w:spacing w:before="120" w:after="120"/>
            </w:pPr>
            <w:hyperlink w:anchor="SectionD" w:history="1">
              <w:r w:rsidR="00DE4FDF" w:rsidRPr="00D47535">
                <w:rPr>
                  <w:rStyle w:val="Hyperlink"/>
                  <w:rFonts w:ascii="Arial" w:hAnsi="Arial" w:cs="Arial"/>
                  <w:b/>
                </w:rPr>
                <w:t>PRIMARY AND SECONDARY SCHOOLS</w:t>
              </w:r>
            </w:hyperlink>
          </w:p>
          <w:p w:rsidR="00BE07BA" w:rsidRDefault="0013009B" w:rsidP="00D47535">
            <w:pPr>
              <w:pStyle w:val="ListParagraph"/>
              <w:numPr>
                <w:ilvl w:val="0"/>
                <w:numId w:val="8"/>
              </w:numPr>
              <w:spacing w:before="120" w:after="120"/>
              <w:rPr>
                <w:rStyle w:val="Hyperlink"/>
                <w:rFonts w:ascii="Arial" w:hAnsi="Arial" w:cs="Arial"/>
              </w:rPr>
            </w:pPr>
            <w:hyperlink w:anchor="SectionDFD" w:history="1">
              <w:r w:rsidR="00BE07BA" w:rsidRPr="003719F3">
                <w:rPr>
                  <w:rStyle w:val="Hyperlink"/>
                  <w:rFonts w:ascii="Arial" w:hAnsi="Arial" w:cs="Arial"/>
                </w:rPr>
                <w:t>Changes to formula factors</w:t>
              </w:r>
            </w:hyperlink>
          </w:p>
          <w:p w:rsidR="00C76200" w:rsidRPr="003719F3" w:rsidRDefault="003719F3" w:rsidP="00D47535">
            <w:pPr>
              <w:pStyle w:val="ListParagraph"/>
              <w:numPr>
                <w:ilvl w:val="0"/>
                <w:numId w:val="8"/>
              </w:numPr>
              <w:spacing w:before="120" w:after="120"/>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\l "SectionDDeDel" </w:instrText>
            </w:r>
            <w:r>
              <w:rPr>
                <w:rStyle w:val="Hyperlink"/>
                <w:rFonts w:ascii="Arial" w:hAnsi="Arial" w:cs="Arial"/>
              </w:rPr>
              <w:fldChar w:fldCharType="separate"/>
            </w:r>
            <w:r w:rsidRPr="003719F3">
              <w:rPr>
                <w:rStyle w:val="Hyperlink"/>
                <w:rFonts w:ascii="Arial" w:hAnsi="Arial" w:cs="Arial"/>
              </w:rPr>
              <w:t>De-</w:t>
            </w:r>
            <w:r w:rsidR="00327D12" w:rsidRPr="003719F3">
              <w:rPr>
                <w:rStyle w:val="Hyperlink"/>
                <w:rFonts w:ascii="Arial" w:hAnsi="Arial" w:cs="Arial"/>
              </w:rPr>
              <w:t>Delegation</w:t>
            </w:r>
          </w:p>
          <w:p w:rsidR="005C7FBB" w:rsidRPr="005C7FBB" w:rsidRDefault="003719F3" w:rsidP="005C7FBB">
            <w:pPr>
              <w:pStyle w:val="ListParagraph"/>
              <w:numPr>
                <w:ilvl w:val="0"/>
                <w:numId w:val="8"/>
              </w:numPr>
              <w:spacing w:before="120" w:after="120"/>
              <w:rPr>
                <w:rStyle w:val="Hyperlink"/>
                <w:rFonts w:ascii="Arial" w:hAnsi="Arial" w:cs="Arial"/>
              </w:rPr>
            </w:pPr>
            <w:r>
              <w:rPr>
                <w:rStyle w:val="Hyperlink"/>
                <w:rFonts w:ascii="Arial" w:hAnsi="Arial" w:cs="Arial"/>
              </w:rPr>
              <w:fldChar w:fldCharType="end"/>
            </w:r>
            <w:hyperlink w:anchor="SectionD6F" w:history="1">
              <w:r w:rsidR="005C7FBB" w:rsidRPr="00692E9F">
                <w:rPr>
                  <w:rStyle w:val="Hyperlink"/>
                  <w:rFonts w:ascii="Arial" w:hAnsi="Arial" w:cs="Arial"/>
                </w:rPr>
                <w:t>Post 16</w:t>
              </w:r>
              <w:r w:rsidR="009B30F1" w:rsidRPr="00692E9F">
                <w:rPr>
                  <w:rStyle w:val="Hyperlink"/>
                  <w:rFonts w:ascii="Arial" w:hAnsi="Arial" w:cs="Arial"/>
                </w:rPr>
                <w:t xml:space="preserve"> / 6</w:t>
              </w:r>
              <w:r w:rsidR="009B30F1" w:rsidRPr="00692E9F">
                <w:rPr>
                  <w:rStyle w:val="Hyperlink"/>
                  <w:rFonts w:ascii="Arial" w:hAnsi="Arial" w:cs="Arial"/>
                  <w:vertAlign w:val="superscript"/>
                </w:rPr>
                <w:t>th</w:t>
              </w:r>
              <w:r w:rsidR="009B30F1" w:rsidRPr="00692E9F">
                <w:rPr>
                  <w:rStyle w:val="Hyperlink"/>
                  <w:rFonts w:ascii="Arial" w:hAnsi="Arial" w:cs="Arial"/>
                </w:rPr>
                <w:t xml:space="preserve"> Form</w:t>
              </w:r>
              <w:r w:rsidR="005C7FBB" w:rsidRPr="00692E9F">
                <w:rPr>
                  <w:rStyle w:val="Hyperlink"/>
                  <w:rFonts w:ascii="Arial" w:hAnsi="Arial" w:cs="Arial"/>
                </w:rPr>
                <w:t xml:space="preserve"> Funding</w:t>
              </w:r>
            </w:hyperlink>
            <w:r w:rsidR="005C7FBB">
              <w:rPr>
                <w:rStyle w:val="Hyperlink"/>
                <w:rFonts w:ascii="Arial" w:hAnsi="Arial" w:cs="Arial"/>
              </w:rPr>
              <w:t xml:space="preserve"> </w:t>
            </w:r>
          </w:p>
          <w:p w:rsidR="005C7FBB" w:rsidRPr="005C7FBB" w:rsidRDefault="0013009B" w:rsidP="005C7FBB">
            <w:pPr>
              <w:pStyle w:val="ListParagraph"/>
              <w:numPr>
                <w:ilvl w:val="0"/>
                <w:numId w:val="8"/>
              </w:numPr>
              <w:spacing w:before="120" w:after="120"/>
              <w:rPr>
                <w:rStyle w:val="Hyperlink"/>
                <w:rFonts w:ascii="Arial" w:hAnsi="Arial" w:cs="Arial"/>
              </w:rPr>
            </w:pPr>
            <w:hyperlink w:anchor="SectionDGrowth" w:history="1">
              <w:r w:rsidR="005C7FBB" w:rsidRPr="00692E9F">
                <w:rPr>
                  <w:rStyle w:val="Hyperlink"/>
                  <w:rFonts w:ascii="Arial" w:hAnsi="Arial" w:cs="Arial"/>
                </w:rPr>
                <w:t>Pupil Growth</w:t>
              </w:r>
            </w:hyperlink>
          </w:p>
          <w:p w:rsidR="00D20A81" w:rsidRDefault="0013009B" w:rsidP="005C7FBB">
            <w:pPr>
              <w:pStyle w:val="ListParagraph"/>
              <w:numPr>
                <w:ilvl w:val="0"/>
                <w:numId w:val="8"/>
              </w:numPr>
              <w:spacing w:before="120" w:after="120"/>
              <w:rPr>
                <w:rStyle w:val="Hyperlink"/>
                <w:rFonts w:ascii="Arial" w:hAnsi="Arial" w:cs="Arial"/>
              </w:rPr>
            </w:pPr>
            <w:hyperlink w:anchor="SectionDEY" w:history="1">
              <w:r w:rsidR="00D20A81" w:rsidRPr="00692E9F">
                <w:rPr>
                  <w:rStyle w:val="Hyperlink"/>
                  <w:rFonts w:ascii="Arial" w:hAnsi="Arial" w:cs="Arial"/>
                </w:rPr>
                <w:t>Early Years Funding</w:t>
              </w:r>
            </w:hyperlink>
          </w:p>
          <w:p w:rsidR="00D06273" w:rsidRPr="00D47535" w:rsidRDefault="00D06273" w:rsidP="003E6B75">
            <w:pPr>
              <w:spacing w:before="120" w:after="120"/>
              <w:rPr>
                <w:rFonts w:ascii="Arial" w:hAnsi="Arial" w:cs="Arial"/>
                <w:b/>
              </w:rPr>
            </w:pPr>
          </w:p>
        </w:tc>
      </w:tr>
      <w:tr w:rsidR="006B06EC" w:rsidTr="00D47535">
        <w:tc>
          <w:tcPr>
            <w:tcW w:w="1668" w:type="dxa"/>
          </w:tcPr>
          <w:p w:rsidR="006B06EC" w:rsidRPr="00D47535" w:rsidRDefault="006B06EC" w:rsidP="00A64441">
            <w:pPr>
              <w:spacing w:before="240"/>
              <w:rPr>
                <w:rFonts w:ascii="Arial" w:hAnsi="Arial" w:cs="Arial"/>
                <w:b/>
              </w:rPr>
            </w:pPr>
            <w:r>
              <w:rPr>
                <w:rFonts w:ascii="Arial" w:hAnsi="Arial" w:cs="Arial"/>
                <w:b/>
              </w:rPr>
              <w:t>E</w:t>
            </w:r>
          </w:p>
        </w:tc>
        <w:tc>
          <w:tcPr>
            <w:tcW w:w="8186" w:type="dxa"/>
          </w:tcPr>
          <w:p w:rsidR="006B06EC" w:rsidRPr="00D47535" w:rsidRDefault="0013009B" w:rsidP="00A64441">
            <w:pPr>
              <w:spacing w:before="240" w:after="120"/>
              <w:rPr>
                <w:rFonts w:ascii="Arial" w:hAnsi="Arial" w:cs="Arial"/>
                <w:b/>
              </w:rPr>
            </w:pPr>
            <w:hyperlink w:anchor="SectionE" w:history="1">
              <w:r w:rsidR="006B06EC" w:rsidRPr="00D47535">
                <w:rPr>
                  <w:rStyle w:val="Hyperlink"/>
                  <w:rFonts w:ascii="Arial" w:hAnsi="Arial" w:cs="Arial"/>
                  <w:b/>
                </w:rPr>
                <w:t>SPECIAL SCHOOLS</w:t>
              </w:r>
            </w:hyperlink>
            <w:r w:rsidR="006B06EC" w:rsidRPr="00D47535">
              <w:rPr>
                <w:rFonts w:ascii="Arial" w:hAnsi="Arial" w:cs="Arial"/>
                <w:b/>
              </w:rPr>
              <w:t xml:space="preserve"> </w:t>
            </w:r>
          </w:p>
          <w:p w:rsidR="006B06EC" w:rsidRPr="00452E71" w:rsidRDefault="0013009B" w:rsidP="00A64441">
            <w:pPr>
              <w:pStyle w:val="ListParagraph"/>
              <w:numPr>
                <w:ilvl w:val="0"/>
                <w:numId w:val="13"/>
              </w:numPr>
              <w:rPr>
                <w:color w:val="0000FF"/>
                <w:u w:val="single"/>
              </w:rPr>
            </w:pPr>
            <w:hyperlink w:anchor="SectionEProtection" w:history="1">
              <w:r w:rsidR="00452E71">
                <w:rPr>
                  <w:rStyle w:val="Hyperlink"/>
                  <w:rFonts w:ascii="Arial" w:hAnsi="Arial" w:cs="Arial"/>
                </w:rPr>
                <w:t>Protection</w:t>
              </w:r>
            </w:hyperlink>
            <w:r w:rsidR="00452E71">
              <w:t xml:space="preserve"> </w:t>
            </w:r>
          </w:p>
          <w:p w:rsidR="00452E71" w:rsidRPr="00452E71" w:rsidRDefault="0013009B" w:rsidP="00A64441">
            <w:pPr>
              <w:pStyle w:val="ListParagraph"/>
              <w:numPr>
                <w:ilvl w:val="0"/>
                <w:numId w:val="13"/>
              </w:numPr>
              <w:rPr>
                <w:rStyle w:val="Hyperlink"/>
                <w:rFonts w:ascii="Arial" w:hAnsi="Arial" w:cs="Arial"/>
              </w:rPr>
            </w:pPr>
            <w:hyperlink w:anchor="SectionEFRates" w:history="1">
              <w:r w:rsidR="00452E71" w:rsidRPr="00452E71">
                <w:rPr>
                  <w:rStyle w:val="Hyperlink"/>
                  <w:rFonts w:ascii="Arial" w:hAnsi="Arial" w:cs="Arial"/>
                </w:rPr>
                <w:t>Funding Rates</w:t>
              </w:r>
            </w:hyperlink>
          </w:p>
          <w:p w:rsidR="006B06EC" w:rsidRPr="009B30F1" w:rsidRDefault="0013009B" w:rsidP="00A64441">
            <w:pPr>
              <w:pStyle w:val="ListParagraph"/>
              <w:numPr>
                <w:ilvl w:val="0"/>
                <w:numId w:val="13"/>
              </w:numPr>
              <w:rPr>
                <w:rStyle w:val="Hyperlink"/>
              </w:rPr>
            </w:pPr>
            <w:hyperlink w:anchor="SectionEOut" w:history="1">
              <w:r w:rsidR="006B06EC" w:rsidRPr="00692E9F">
                <w:rPr>
                  <w:rStyle w:val="Hyperlink"/>
                  <w:rFonts w:ascii="Arial" w:hAnsi="Arial" w:cs="Arial"/>
                </w:rPr>
                <w:t>Outreach</w:t>
              </w:r>
            </w:hyperlink>
          </w:p>
          <w:p w:rsidR="006B06EC" w:rsidRPr="00452E71" w:rsidRDefault="00452E71" w:rsidP="00A64441">
            <w:pPr>
              <w:pStyle w:val="ListParagraph"/>
              <w:numPr>
                <w:ilvl w:val="0"/>
                <w:numId w:val="13"/>
              </w:numPr>
              <w:rPr>
                <w:rStyle w:val="Hyperlink"/>
              </w:rPr>
            </w:pPr>
            <w:r>
              <w:rPr>
                <w:rFonts w:ascii="Arial" w:hAnsi="Arial" w:cs="Arial"/>
              </w:rPr>
              <w:fldChar w:fldCharType="begin"/>
            </w:r>
            <w:r w:rsidR="00CD4B85">
              <w:rPr>
                <w:rFonts w:ascii="Arial" w:hAnsi="Arial" w:cs="Arial"/>
              </w:rPr>
              <w:instrText>HYPERLINK  \l "_Pooled_Funding_(equivalent"</w:instrText>
            </w:r>
            <w:r>
              <w:rPr>
                <w:rFonts w:ascii="Arial" w:hAnsi="Arial" w:cs="Arial"/>
              </w:rPr>
              <w:fldChar w:fldCharType="separate"/>
            </w:r>
            <w:r w:rsidR="00110F97">
              <w:rPr>
                <w:rStyle w:val="Hyperlink"/>
                <w:rFonts w:ascii="Arial" w:hAnsi="Arial" w:cs="Arial"/>
              </w:rPr>
              <w:t>Pooled Funding (d</w:t>
            </w:r>
            <w:r w:rsidRPr="00452E71">
              <w:rPr>
                <w:rStyle w:val="Hyperlink"/>
                <w:rFonts w:ascii="Arial" w:hAnsi="Arial" w:cs="Arial"/>
              </w:rPr>
              <w:t>e-</w:t>
            </w:r>
            <w:r w:rsidR="00110F97">
              <w:rPr>
                <w:rStyle w:val="Hyperlink"/>
                <w:rFonts w:ascii="Arial" w:hAnsi="Arial" w:cs="Arial"/>
              </w:rPr>
              <w:t>d</w:t>
            </w:r>
            <w:r w:rsidR="006B06EC" w:rsidRPr="00452E71">
              <w:rPr>
                <w:rStyle w:val="Hyperlink"/>
                <w:rFonts w:ascii="Arial" w:hAnsi="Arial" w:cs="Arial"/>
              </w:rPr>
              <w:t>elegatio</w:t>
            </w:r>
            <w:r w:rsidR="00CF0CA7">
              <w:rPr>
                <w:rStyle w:val="Hyperlink"/>
                <w:rFonts w:ascii="Arial" w:hAnsi="Arial" w:cs="Arial"/>
              </w:rPr>
              <w:t>n equivalent)</w:t>
            </w:r>
          </w:p>
          <w:p w:rsidR="006B06EC" w:rsidRPr="00D47535" w:rsidRDefault="00452E71" w:rsidP="00A64441">
            <w:pPr>
              <w:spacing w:before="120" w:after="120"/>
              <w:rPr>
                <w:rFonts w:ascii="Arial" w:hAnsi="Arial" w:cs="Arial"/>
                <w:b/>
              </w:rPr>
            </w:pPr>
            <w:r>
              <w:rPr>
                <w:rFonts w:ascii="Arial" w:hAnsi="Arial" w:cs="Arial"/>
              </w:rPr>
              <w:fldChar w:fldCharType="end"/>
            </w:r>
          </w:p>
        </w:tc>
      </w:tr>
      <w:tr w:rsidR="009912C8" w:rsidTr="00CA2E90">
        <w:tc>
          <w:tcPr>
            <w:tcW w:w="1668" w:type="dxa"/>
          </w:tcPr>
          <w:p w:rsidR="00CA2E90" w:rsidRPr="00D47535" w:rsidRDefault="009912C8" w:rsidP="00CA2E90">
            <w:pPr>
              <w:spacing w:before="120" w:after="120"/>
              <w:rPr>
                <w:rFonts w:ascii="Arial" w:hAnsi="Arial" w:cs="Arial"/>
                <w:b/>
              </w:rPr>
            </w:pPr>
            <w:bookmarkStart w:id="1" w:name="SectionA"/>
            <w:r>
              <w:rPr>
                <w:rFonts w:ascii="Arial" w:hAnsi="Arial" w:cs="Arial"/>
                <w:b/>
              </w:rPr>
              <w:t>F</w:t>
            </w:r>
          </w:p>
        </w:tc>
        <w:tc>
          <w:tcPr>
            <w:tcW w:w="8186" w:type="dxa"/>
          </w:tcPr>
          <w:p w:rsidR="009912C8" w:rsidRPr="00D47535" w:rsidRDefault="0013009B" w:rsidP="00CA2E90">
            <w:pPr>
              <w:spacing w:before="120" w:after="120"/>
              <w:rPr>
                <w:rFonts w:ascii="Arial" w:hAnsi="Arial" w:cs="Arial"/>
                <w:b/>
              </w:rPr>
            </w:pPr>
            <w:hyperlink w:anchor="SectionF" w:history="1">
              <w:r w:rsidR="00CA2E90" w:rsidRPr="00CA2E90">
                <w:rPr>
                  <w:rStyle w:val="Hyperlink"/>
                  <w:rFonts w:ascii="Arial" w:hAnsi="Arial" w:cs="Arial"/>
                  <w:b/>
                </w:rPr>
                <w:t>OVERVIEW OF MAINSTREAM HIGH NEEDS FUNDING IN KENT</w:t>
              </w:r>
            </w:hyperlink>
          </w:p>
        </w:tc>
      </w:tr>
    </w:tbl>
    <w:p w:rsidR="009912C8" w:rsidRDefault="009912C8">
      <w:pPr>
        <w:rPr>
          <w:rFonts w:ascii="Arial" w:hAnsi="Arial"/>
          <w:b/>
        </w:rPr>
      </w:pPr>
      <w:r>
        <w:rPr>
          <w:rFonts w:ascii="Arial" w:hAnsi="Arial"/>
          <w:b/>
        </w:rPr>
        <w:br w:type="page"/>
      </w:r>
    </w:p>
    <w:bookmarkEnd w:id="1"/>
    <w:p w:rsidR="00F65D4C" w:rsidRPr="00BF13F0" w:rsidRDefault="00F65D4C" w:rsidP="00F65D4C">
      <w:pPr>
        <w:ind w:left="2160" w:firstLine="720"/>
        <w:rPr>
          <w:rFonts w:ascii="Arial" w:hAnsi="Arial" w:cs="Arial"/>
          <w:b/>
          <w:bCs/>
        </w:rPr>
      </w:pPr>
      <w:r w:rsidRPr="00BF13F0">
        <w:rPr>
          <w:rFonts w:ascii="Arial" w:hAnsi="Arial" w:cs="Arial"/>
          <w:b/>
          <w:bCs/>
        </w:rPr>
        <w:lastRenderedPageBreak/>
        <w:t>SECTION A - IMPORTANT INFORMATION</w:t>
      </w:r>
    </w:p>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r w:rsidRPr="00BF13F0">
        <w:rPr>
          <w:rFonts w:ascii="Arial" w:hAnsi="Arial" w:cs="Arial"/>
        </w:rPr>
        <w:t xml:space="preserve">All Kent maintained schools will be able to access their budget templates on KELSI for 2017-18 and we have also included a Minimum Funding Guarantee (MFG) calculation for the following two financial years.  Please note that all schools using these templates will be required to follow the instructions available on KELSI to finalise the calculation of their school’s budget. </w:t>
      </w:r>
    </w:p>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r w:rsidRPr="00BF13F0">
        <w:rPr>
          <w:rFonts w:ascii="Arial" w:hAnsi="Arial" w:cs="Arial"/>
        </w:rPr>
        <w:t xml:space="preserve">To access the guidance for completing the templates click on these links; </w:t>
      </w:r>
      <w:hyperlink r:id="rId9" w:history="1">
        <w:r w:rsidRPr="0015600E">
          <w:rPr>
            <w:rStyle w:val="Hyperlink"/>
            <w:rFonts w:ascii="Arial" w:hAnsi="Arial" w:cs="Arial"/>
          </w:rPr>
          <w:t>Mainstream</w:t>
        </w:r>
        <w:r w:rsidRPr="0015600E">
          <w:rPr>
            <w:rStyle w:val="Hyperlink"/>
            <w:rFonts w:ascii="Arial" w:hAnsi="Arial" w:cs="Arial"/>
          </w:rPr>
          <w:t xml:space="preserve"> </w:t>
        </w:r>
        <w:r w:rsidRPr="0015600E">
          <w:rPr>
            <w:rStyle w:val="Hyperlink"/>
            <w:rFonts w:ascii="Arial" w:hAnsi="Arial" w:cs="Arial"/>
          </w:rPr>
          <w:t>Schools</w:t>
        </w:r>
      </w:hyperlink>
      <w:r w:rsidRPr="00BF13F0">
        <w:rPr>
          <w:rFonts w:ascii="Arial" w:hAnsi="Arial" w:cs="Arial"/>
        </w:rPr>
        <w:t xml:space="preserve"> and </w:t>
      </w:r>
      <w:hyperlink r:id="rId10" w:history="1">
        <w:r w:rsidRPr="003F6C16">
          <w:rPr>
            <w:rStyle w:val="Hyperlink"/>
            <w:rFonts w:ascii="Arial" w:hAnsi="Arial" w:cs="Arial"/>
          </w:rPr>
          <w:t>Special Sch</w:t>
        </w:r>
        <w:r w:rsidRPr="003F6C16">
          <w:rPr>
            <w:rStyle w:val="Hyperlink"/>
            <w:rFonts w:ascii="Arial" w:hAnsi="Arial" w:cs="Arial"/>
          </w:rPr>
          <w:t>o</w:t>
        </w:r>
        <w:r w:rsidRPr="003F6C16">
          <w:rPr>
            <w:rStyle w:val="Hyperlink"/>
            <w:rFonts w:ascii="Arial" w:hAnsi="Arial" w:cs="Arial"/>
          </w:rPr>
          <w:t>ols</w:t>
        </w:r>
      </w:hyperlink>
      <w:r w:rsidRPr="003F6C16">
        <w:rPr>
          <w:rFonts w:ascii="Arial" w:hAnsi="Arial" w:cs="Arial"/>
        </w:rPr>
        <w:t>.</w:t>
      </w:r>
      <w:r w:rsidRPr="00BF13F0">
        <w:rPr>
          <w:rFonts w:ascii="Arial" w:hAnsi="Arial" w:cs="Arial"/>
        </w:rPr>
        <w:t xml:space="preserve">  Due to the introduction of the National Funding Formula in the future, mainstream school templates now include additional MFG percentages which can be selected when calculating Years 2 and 3 funding. Essentially the percentage selected will be based on local knowledge.  Further details on using these percentages are included within the template guidance, within the Budget Setting and Monitoring Guidebook (as detailed below) and from discussions during training sessions. </w:t>
      </w:r>
    </w:p>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r w:rsidRPr="00BF13F0">
        <w:rPr>
          <w:rFonts w:ascii="Arial" w:hAnsi="Arial" w:cs="Arial"/>
        </w:rPr>
        <w:t xml:space="preserve">A funding guidance book will be provided shortly for 2017-18, which is currently being updated. The information in this document will provide you with a detailed explanation on how your funding has been calculated. To access this document click on this link </w:t>
      </w:r>
      <w:hyperlink r:id="rId11" w:history="1">
        <w:r w:rsidRPr="0038741D">
          <w:rPr>
            <w:rStyle w:val="Hyperlink"/>
            <w:rFonts w:ascii="Arial" w:hAnsi="Arial" w:cs="Arial"/>
          </w:rPr>
          <w:t>Primary and Secondary School Funding Guidance 2017-18</w:t>
        </w:r>
      </w:hyperlink>
      <w:r w:rsidR="00A236CE" w:rsidRPr="0038741D">
        <w:rPr>
          <w:rFonts w:ascii="Arial" w:hAnsi="Arial" w:cs="Arial"/>
        </w:rPr>
        <w:t>.</w:t>
      </w:r>
    </w:p>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r w:rsidRPr="00BF13F0">
        <w:rPr>
          <w:rFonts w:ascii="Arial" w:hAnsi="Arial" w:cs="Arial"/>
        </w:rPr>
        <w:t>There are two key budget templates on KELSI, one for primary and secondary phase and the other for special schools phase.  Each template includes a number of separate funding calculations and these are listed below for information:</w:t>
      </w:r>
    </w:p>
    <w:p w:rsidR="00F65D4C" w:rsidRPr="00BF13F0" w:rsidRDefault="00F65D4C" w:rsidP="00F65D4C">
      <w:pPr>
        <w:jc w:val="both"/>
        <w:rPr>
          <w:rFonts w:ascii="Arial" w:hAnsi="Arial" w:cs="Arial"/>
        </w:rPr>
      </w:pPr>
    </w:p>
    <w:p w:rsidR="00F65D4C" w:rsidRPr="00BF13F0" w:rsidRDefault="00F65D4C" w:rsidP="00F65D4C">
      <w:pPr>
        <w:pStyle w:val="ListParagraph"/>
        <w:numPr>
          <w:ilvl w:val="0"/>
          <w:numId w:val="36"/>
        </w:numPr>
        <w:ind w:left="567" w:hanging="567"/>
        <w:jc w:val="both"/>
        <w:rPr>
          <w:rFonts w:ascii="Arial" w:hAnsi="Arial" w:cs="Arial"/>
        </w:rPr>
      </w:pPr>
      <w:r w:rsidRPr="00BF13F0">
        <w:rPr>
          <w:rFonts w:ascii="Arial" w:hAnsi="Arial" w:cs="Arial"/>
          <w:b/>
          <w:bCs/>
        </w:rPr>
        <w:t xml:space="preserve">Mainstream </w:t>
      </w:r>
      <w:hyperlink r:id="rId12" w:history="1">
        <w:r w:rsidRPr="00BE2D61">
          <w:rPr>
            <w:rStyle w:val="Hyperlink"/>
            <w:rFonts w:ascii="Arial" w:hAnsi="Arial" w:cs="Arial"/>
          </w:rPr>
          <w:t>(Mainstream Template 2017</w:t>
        </w:r>
        <w:r w:rsidRPr="00BE2D61">
          <w:rPr>
            <w:rStyle w:val="Hyperlink"/>
            <w:rFonts w:ascii="Arial" w:hAnsi="Arial" w:cs="Arial"/>
          </w:rPr>
          <w:t>-</w:t>
        </w:r>
        <w:r w:rsidRPr="00BE2D61">
          <w:rPr>
            <w:rStyle w:val="Hyperlink"/>
            <w:rFonts w:ascii="Arial" w:hAnsi="Arial" w:cs="Arial"/>
          </w:rPr>
          <w:t>18)</w:t>
        </w:r>
      </w:hyperlink>
      <w:r w:rsidR="00BE2D61">
        <w:rPr>
          <w:rFonts w:ascii="Arial" w:hAnsi="Arial" w:cs="Arial"/>
        </w:rPr>
        <w:t>,</w:t>
      </w:r>
      <w:r w:rsidRPr="00BF13F0">
        <w:rPr>
          <w:rFonts w:ascii="Arial" w:hAnsi="Arial" w:cs="Arial"/>
        </w:rPr>
        <w:t xml:space="preserve">this includes: </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Delegated formula School Budget Share (SBS) for 2017-18</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Minimum Funding Guarantee (MFG) calculation</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Early years (if applicable)</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High needs – mainstream (if applicable)</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High needs – SRP (if applicable)</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Pupil growth (if applicable)</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 xml:space="preserve">Pupil Premium </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Universal Infant Free School Meals (if applicable)</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 xml:space="preserve">De-delegation calculation </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Year 2 and 3 MFG calculation</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 xml:space="preserve">BPS summary input sheet </w:t>
      </w:r>
    </w:p>
    <w:p w:rsidR="00F65D4C" w:rsidRPr="00BF13F0" w:rsidRDefault="00F65D4C" w:rsidP="00F65D4C">
      <w:pPr>
        <w:pStyle w:val="ListParagraph"/>
        <w:ind w:left="1080"/>
        <w:jc w:val="both"/>
        <w:rPr>
          <w:rFonts w:ascii="Arial" w:hAnsi="Arial" w:cs="Arial"/>
          <w:b/>
          <w:bCs/>
        </w:rPr>
      </w:pPr>
    </w:p>
    <w:p w:rsidR="00F65D4C" w:rsidRPr="00BF13F0" w:rsidRDefault="00F65D4C" w:rsidP="00F65D4C">
      <w:pPr>
        <w:pStyle w:val="ListParagraph"/>
        <w:numPr>
          <w:ilvl w:val="0"/>
          <w:numId w:val="36"/>
        </w:numPr>
        <w:ind w:left="567" w:hanging="567"/>
        <w:jc w:val="both"/>
        <w:rPr>
          <w:rFonts w:ascii="Arial" w:hAnsi="Arial" w:cs="Arial"/>
        </w:rPr>
      </w:pPr>
      <w:r w:rsidRPr="00BF13F0">
        <w:rPr>
          <w:rFonts w:ascii="Arial" w:hAnsi="Arial" w:cs="Arial"/>
          <w:b/>
          <w:bCs/>
        </w:rPr>
        <w:t>Special</w:t>
      </w:r>
      <w:r w:rsidRPr="00BF13F0">
        <w:rPr>
          <w:rFonts w:ascii="Arial" w:hAnsi="Arial" w:cs="Arial"/>
        </w:rPr>
        <w:t xml:space="preserve"> (</w:t>
      </w:r>
      <w:hyperlink r:id="rId13" w:history="1">
        <w:r w:rsidRPr="00870E51">
          <w:rPr>
            <w:rStyle w:val="Hyperlink"/>
            <w:rFonts w:ascii="Arial" w:hAnsi="Arial" w:cs="Arial"/>
          </w:rPr>
          <w:t>Special Template 2017</w:t>
        </w:r>
        <w:r w:rsidRPr="00870E51">
          <w:rPr>
            <w:rStyle w:val="Hyperlink"/>
            <w:rFonts w:ascii="Arial" w:hAnsi="Arial" w:cs="Arial"/>
          </w:rPr>
          <w:t>-</w:t>
        </w:r>
        <w:r w:rsidRPr="00870E51">
          <w:rPr>
            <w:rStyle w:val="Hyperlink"/>
            <w:rFonts w:ascii="Arial" w:hAnsi="Arial" w:cs="Arial"/>
          </w:rPr>
          <w:t>18</w:t>
        </w:r>
      </w:hyperlink>
      <w:r w:rsidRPr="00870E51">
        <w:rPr>
          <w:rStyle w:val="Hyperlink"/>
        </w:rPr>
        <w:t>)</w:t>
      </w:r>
      <w:r w:rsidRPr="00BF13F0">
        <w:rPr>
          <w:rFonts w:ascii="Arial" w:hAnsi="Arial" w:cs="Arial"/>
        </w:rPr>
        <w:t>, this includes</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 xml:space="preserve">Years 1, 2 and 3 of high needs Place Plus funding.  </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Pupil Premium</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Universal Infant Free School Meals (if applicable)</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Pooled funding calculation</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Reconciliation of Funding</w:t>
      </w:r>
    </w:p>
    <w:p w:rsidR="00F65D4C" w:rsidRPr="00BF13F0" w:rsidRDefault="00F65D4C" w:rsidP="00F65D4C">
      <w:pPr>
        <w:pStyle w:val="ListParagraph"/>
        <w:numPr>
          <w:ilvl w:val="1"/>
          <w:numId w:val="36"/>
        </w:numPr>
        <w:jc w:val="both"/>
        <w:rPr>
          <w:rFonts w:ascii="Arial" w:hAnsi="Arial" w:cs="Arial"/>
        </w:rPr>
      </w:pPr>
      <w:r w:rsidRPr="00BF13F0">
        <w:rPr>
          <w:rFonts w:ascii="Arial" w:hAnsi="Arial" w:cs="Arial"/>
        </w:rPr>
        <w:t>BPS summary input sheet.</w:t>
      </w:r>
    </w:p>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r w:rsidRPr="00BF13F0">
        <w:rPr>
          <w:rFonts w:ascii="Arial" w:hAnsi="Arial" w:cs="Arial"/>
        </w:rPr>
        <w:t>All schools will be provided with full guidance notes on KELSI to complete the budget templates.  The guidance for inputting the funding information in to BPS will be uploaded to the Help and User Guide on the BPS. Also available on the BPS for Kent Maintained schools will be a Budget Setting and Monitoring Guidebook.</w:t>
      </w:r>
    </w:p>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p>
    <w:p w:rsidR="00F65D4C" w:rsidRPr="00BF13F0" w:rsidRDefault="00F65D4C" w:rsidP="00F65D4C">
      <w:pPr>
        <w:rPr>
          <w:rFonts w:ascii="Arial" w:hAnsi="Arial" w:cs="Arial"/>
        </w:rPr>
      </w:pPr>
      <w:r w:rsidRPr="00BF13F0">
        <w:rPr>
          <w:rFonts w:ascii="Arial" w:hAnsi="Arial" w:cs="Arial"/>
        </w:rPr>
        <w:lastRenderedPageBreak/>
        <w:t xml:space="preserve">In addition a separate template is provided for your </w:t>
      </w:r>
      <w:hyperlink r:id="rId14" w:history="1">
        <w:r w:rsidRPr="00BF13F0">
          <w:rPr>
            <w:rStyle w:val="Hyperlink"/>
            <w:rFonts w:ascii="Arial" w:hAnsi="Arial" w:cs="Arial"/>
          </w:rPr>
          <w:t>Devolved F</w:t>
        </w:r>
        <w:r w:rsidRPr="00BF13F0">
          <w:rPr>
            <w:rStyle w:val="Hyperlink"/>
            <w:rFonts w:ascii="Arial" w:hAnsi="Arial" w:cs="Arial"/>
          </w:rPr>
          <w:t>o</w:t>
        </w:r>
        <w:r w:rsidRPr="00BF13F0">
          <w:rPr>
            <w:rStyle w:val="Hyperlink"/>
            <w:rFonts w:ascii="Arial" w:hAnsi="Arial" w:cs="Arial"/>
          </w:rPr>
          <w:t>rmula Capital</w:t>
        </w:r>
      </w:hyperlink>
      <w:r w:rsidRPr="00BF13F0">
        <w:rPr>
          <w:rFonts w:ascii="Arial" w:hAnsi="Arial" w:cs="Arial"/>
        </w:rPr>
        <w:t xml:space="preserve"> funding for 2017-18.  Currently the budgets published for 2017-18 are indicative, based on pupil numbers collected in the January 2016 census.  The Department for Education (DfE) have advised that the actual budgets for 2017-18 will not be available until the spring and this template will be updated as soon as these become available.  </w:t>
      </w:r>
    </w:p>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r w:rsidRPr="00BF13F0">
        <w:rPr>
          <w:rFonts w:ascii="Arial" w:hAnsi="Arial" w:cs="Arial"/>
        </w:rPr>
        <w:t>The budget setting courses in March will provide full training on the transition of the current year information on BPS to the new/next year.  Please ensure before attending a course you have completed the BPS ‘new year preparation’ document as sent out to Kent schools on 3 February 2017. Where a training course includes a workshop it is essential that the instructions in this document are carried out in full in order to gain the most from the training course.</w:t>
      </w:r>
    </w:p>
    <w:p w:rsidR="00F65D4C" w:rsidRPr="00BF13F0" w:rsidRDefault="00F65D4C" w:rsidP="00F65D4C">
      <w:pPr>
        <w:jc w:val="both"/>
        <w:rPr>
          <w:rFonts w:ascii="Arial" w:hAnsi="Arial" w:cs="Arial"/>
          <w:highlight w:val="yellow"/>
        </w:rPr>
      </w:pPr>
    </w:p>
    <w:p w:rsidR="00BB3FAD" w:rsidRPr="00453526" w:rsidRDefault="00F65D4C" w:rsidP="00F65D4C">
      <w:pPr>
        <w:jc w:val="both"/>
        <w:rPr>
          <w:rFonts w:ascii="Arial" w:hAnsi="Arial"/>
        </w:rPr>
      </w:pPr>
      <w:r w:rsidRPr="00BF13F0">
        <w:rPr>
          <w:rFonts w:ascii="Arial" w:hAnsi="Arial" w:cs="Arial"/>
        </w:rPr>
        <w:t>The deadline for the budget to be submitted to the Local Authority will be Wednesday 31st May 2017. </w:t>
      </w:r>
    </w:p>
    <w:p w:rsidR="00BB3FAD" w:rsidRDefault="00BB3FAD" w:rsidP="00BB3FAD">
      <w:pPr>
        <w:spacing w:before="120"/>
        <w:jc w:val="center"/>
        <w:rPr>
          <w:rFonts w:ascii="Arial" w:hAnsi="Arial"/>
          <w:b/>
        </w:rPr>
      </w:pPr>
    </w:p>
    <w:p w:rsidR="00453526" w:rsidRDefault="00453526">
      <w:pPr>
        <w:rPr>
          <w:rFonts w:ascii="Arial" w:hAnsi="Arial"/>
          <w:b/>
        </w:rPr>
      </w:pPr>
      <w:r>
        <w:rPr>
          <w:rFonts w:ascii="Arial" w:hAnsi="Arial"/>
          <w:b/>
        </w:rPr>
        <w:br w:type="page"/>
      </w:r>
    </w:p>
    <w:p w:rsidR="00092C1F" w:rsidRDefault="00757CC5" w:rsidP="00FA510E">
      <w:pPr>
        <w:spacing w:before="120"/>
        <w:jc w:val="center"/>
        <w:rPr>
          <w:rFonts w:ascii="Arial" w:hAnsi="Arial"/>
          <w:b/>
        </w:rPr>
      </w:pPr>
      <w:bookmarkStart w:id="2" w:name="SectionB"/>
      <w:r>
        <w:rPr>
          <w:rFonts w:ascii="Arial" w:hAnsi="Arial"/>
          <w:b/>
        </w:rPr>
        <w:lastRenderedPageBreak/>
        <w:t xml:space="preserve">SECTION B - </w:t>
      </w:r>
      <w:r w:rsidR="00092C1F" w:rsidRPr="00FA510E">
        <w:rPr>
          <w:rFonts w:ascii="Arial" w:hAnsi="Arial"/>
          <w:b/>
        </w:rPr>
        <w:t>BUDGET HEADLINES</w:t>
      </w:r>
    </w:p>
    <w:bookmarkEnd w:id="2"/>
    <w:p w:rsidR="00C1675E" w:rsidRDefault="00C1675E" w:rsidP="005D0D35">
      <w:pPr>
        <w:spacing w:before="120"/>
        <w:rPr>
          <w:rFonts w:ascii="Arial" w:hAnsi="Arial"/>
          <w:u w:val="single"/>
        </w:rPr>
      </w:pPr>
    </w:p>
    <w:p w:rsidR="00FF5718" w:rsidRDefault="00167462" w:rsidP="005D0D35">
      <w:pPr>
        <w:spacing w:before="120"/>
        <w:rPr>
          <w:rFonts w:ascii="Arial" w:hAnsi="Arial"/>
          <w:u w:val="single"/>
        </w:rPr>
      </w:pPr>
      <w:r>
        <w:rPr>
          <w:rFonts w:ascii="Arial" w:hAnsi="Arial"/>
          <w:u w:val="single"/>
        </w:rPr>
        <w:t>Headlines 201</w:t>
      </w:r>
      <w:r w:rsidR="005B05C1">
        <w:rPr>
          <w:rFonts w:ascii="Arial" w:hAnsi="Arial"/>
          <w:u w:val="single"/>
        </w:rPr>
        <w:t>7</w:t>
      </w:r>
      <w:r>
        <w:rPr>
          <w:rFonts w:ascii="Arial" w:hAnsi="Arial"/>
          <w:u w:val="single"/>
        </w:rPr>
        <w:t>-1</w:t>
      </w:r>
      <w:r w:rsidR="005B05C1">
        <w:rPr>
          <w:rFonts w:ascii="Arial" w:hAnsi="Arial"/>
          <w:u w:val="single"/>
        </w:rPr>
        <w:t>8</w:t>
      </w:r>
      <w:r>
        <w:rPr>
          <w:rFonts w:ascii="Arial" w:hAnsi="Arial"/>
          <w:u w:val="single"/>
        </w:rPr>
        <w:t xml:space="preserve"> school budget settlement and pressures</w:t>
      </w:r>
    </w:p>
    <w:p w:rsidR="00FF5718" w:rsidRDefault="00167462" w:rsidP="005D0D35">
      <w:pPr>
        <w:spacing w:before="120"/>
        <w:rPr>
          <w:rFonts w:ascii="Arial" w:hAnsi="Arial"/>
        </w:rPr>
      </w:pPr>
      <w:r>
        <w:rPr>
          <w:rFonts w:ascii="Arial" w:hAnsi="Arial"/>
        </w:rPr>
        <w:t>2017-18 is</w:t>
      </w:r>
      <w:r w:rsidR="00F84CFC">
        <w:rPr>
          <w:rFonts w:ascii="Arial" w:hAnsi="Arial"/>
        </w:rPr>
        <w:t xml:space="preserve"> now the seventh </w:t>
      </w:r>
      <w:r w:rsidR="003566FA">
        <w:rPr>
          <w:rFonts w:ascii="Arial" w:hAnsi="Arial"/>
        </w:rPr>
        <w:t xml:space="preserve">consecutive </w:t>
      </w:r>
      <w:r w:rsidR="00F84CFC">
        <w:rPr>
          <w:rFonts w:ascii="Arial" w:hAnsi="Arial"/>
        </w:rPr>
        <w:t xml:space="preserve">year of Dedicated Schools Grant (DSG) flat cash per pupil, </w:t>
      </w:r>
      <w:r w:rsidR="003566FA">
        <w:rPr>
          <w:rFonts w:ascii="Arial" w:hAnsi="Arial"/>
        </w:rPr>
        <w:t xml:space="preserve">which </w:t>
      </w:r>
      <w:r w:rsidR="00F84CFC">
        <w:rPr>
          <w:rFonts w:ascii="Arial" w:hAnsi="Arial"/>
        </w:rPr>
        <w:t>means that schools</w:t>
      </w:r>
      <w:r w:rsidR="00A25D03">
        <w:rPr>
          <w:rFonts w:ascii="Arial" w:hAnsi="Arial"/>
        </w:rPr>
        <w:t>’</w:t>
      </w:r>
      <w:r w:rsidR="00F84CFC">
        <w:rPr>
          <w:rFonts w:ascii="Arial" w:hAnsi="Arial"/>
        </w:rPr>
        <w:t xml:space="preserve"> funding has not been uplifted for inflationary pressures during this period. </w:t>
      </w:r>
      <w:r w:rsidR="003566FA">
        <w:rPr>
          <w:rFonts w:ascii="Arial" w:hAnsi="Arial"/>
        </w:rPr>
        <w:t xml:space="preserve"> We know that f</w:t>
      </w:r>
      <w:r w:rsidR="00071F03">
        <w:rPr>
          <w:rFonts w:ascii="Arial" w:hAnsi="Arial"/>
        </w:rPr>
        <w:t xml:space="preserve">lat cash will continue for the remainder of this </w:t>
      </w:r>
      <w:r w:rsidR="005B05C1">
        <w:rPr>
          <w:rFonts w:ascii="Arial" w:hAnsi="Arial"/>
        </w:rPr>
        <w:t>P</w:t>
      </w:r>
      <w:r w:rsidR="00071F03">
        <w:rPr>
          <w:rFonts w:ascii="Arial" w:hAnsi="Arial"/>
        </w:rPr>
        <w:t xml:space="preserve">arliament (2019-20), </w:t>
      </w:r>
      <w:r w:rsidR="003566FA">
        <w:rPr>
          <w:rFonts w:ascii="Arial" w:hAnsi="Arial"/>
        </w:rPr>
        <w:t>and the Governments view is that schools are expected to find efficiency savings to offset these inflationary pressures.  H</w:t>
      </w:r>
      <w:r w:rsidR="00071F03">
        <w:rPr>
          <w:rFonts w:ascii="Arial" w:hAnsi="Arial"/>
        </w:rPr>
        <w:t>owever</w:t>
      </w:r>
      <w:r w:rsidR="00A236CE">
        <w:rPr>
          <w:rFonts w:ascii="Arial" w:hAnsi="Arial"/>
        </w:rPr>
        <w:t>,</w:t>
      </w:r>
      <w:r w:rsidR="00071F03">
        <w:rPr>
          <w:rFonts w:ascii="Arial" w:hAnsi="Arial"/>
        </w:rPr>
        <w:t xml:space="preserve"> </w:t>
      </w:r>
      <w:r w:rsidR="00A041AB">
        <w:rPr>
          <w:rFonts w:ascii="Arial" w:hAnsi="Arial"/>
        </w:rPr>
        <w:t xml:space="preserve">the proposed introduction of the </w:t>
      </w:r>
      <w:r w:rsidR="003566FA">
        <w:rPr>
          <w:rFonts w:ascii="Arial" w:hAnsi="Arial"/>
        </w:rPr>
        <w:t>N</w:t>
      </w:r>
      <w:r w:rsidR="00A041AB">
        <w:rPr>
          <w:rFonts w:ascii="Arial" w:hAnsi="Arial"/>
        </w:rPr>
        <w:t xml:space="preserve">ational </w:t>
      </w:r>
      <w:r w:rsidR="003566FA">
        <w:rPr>
          <w:rFonts w:ascii="Arial" w:hAnsi="Arial"/>
        </w:rPr>
        <w:t>F</w:t>
      </w:r>
      <w:r w:rsidR="00A041AB">
        <w:rPr>
          <w:rFonts w:ascii="Arial" w:hAnsi="Arial"/>
        </w:rPr>
        <w:t xml:space="preserve">unding </w:t>
      </w:r>
      <w:r w:rsidR="003566FA">
        <w:rPr>
          <w:rFonts w:ascii="Arial" w:hAnsi="Arial"/>
        </w:rPr>
        <w:t>F</w:t>
      </w:r>
      <w:r w:rsidR="00A041AB">
        <w:rPr>
          <w:rFonts w:ascii="Arial" w:hAnsi="Arial"/>
        </w:rPr>
        <w:t xml:space="preserve">ormula </w:t>
      </w:r>
      <w:r w:rsidR="003566FA">
        <w:rPr>
          <w:rFonts w:ascii="Arial" w:hAnsi="Arial"/>
        </w:rPr>
        <w:t xml:space="preserve">(NFF) </w:t>
      </w:r>
      <w:r w:rsidR="00A041AB">
        <w:rPr>
          <w:rFonts w:ascii="Arial" w:hAnsi="Arial"/>
        </w:rPr>
        <w:t xml:space="preserve">may </w:t>
      </w:r>
      <w:r w:rsidR="00C52617">
        <w:rPr>
          <w:rFonts w:ascii="Arial" w:hAnsi="Arial"/>
        </w:rPr>
        <w:t xml:space="preserve">have an </w:t>
      </w:r>
      <w:r w:rsidR="00A041AB">
        <w:rPr>
          <w:rFonts w:ascii="Arial" w:hAnsi="Arial"/>
        </w:rPr>
        <w:t xml:space="preserve">impact </w:t>
      </w:r>
      <w:r w:rsidR="00C52617">
        <w:rPr>
          <w:rFonts w:ascii="Arial" w:hAnsi="Arial"/>
        </w:rPr>
        <w:t>on a</w:t>
      </w:r>
      <w:r w:rsidR="003566FA">
        <w:rPr>
          <w:rFonts w:ascii="Arial" w:hAnsi="Arial"/>
        </w:rPr>
        <w:t>n</w:t>
      </w:r>
      <w:r w:rsidR="00C52617">
        <w:rPr>
          <w:rFonts w:ascii="Arial" w:hAnsi="Arial"/>
        </w:rPr>
        <w:t xml:space="preserve"> </w:t>
      </w:r>
      <w:r w:rsidR="003566FA">
        <w:rPr>
          <w:rFonts w:ascii="Arial" w:hAnsi="Arial"/>
        </w:rPr>
        <w:t xml:space="preserve">individual </w:t>
      </w:r>
      <w:r w:rsidR="00C52617">
        <w:rPr>
          <w:rFonts w:ascii="Arial" w:hAnsi="Arial"/>
        </w:rPr>
        <w:t>school</w:t>
      </w:r>
      <w:r w:rsidR="00A236CE">
        <w:rPr>
          <w:rFonts w:ascii="Arial" w:hAnsi="Arial"/>
        </w:rPr>
        <w:t>’</w:t>
      </w:r>
      <w:r w:rsidR="00C52617">
        <w:rPr>
          <w:rFonts w:ascii="Arial" w:hAnsi="Arial"/>
        </w:rPr>
        <w:t>s budget</w:t>
      </w:r>
      <w:r w:rsidR="003566FA">
        <w:rPr>
          <w:rFonts w:ascii="Arial" w:hAnsi="Arial"/>
        </w:rPr>
        <w:t>.  F</w:t>
      </w:r>
      <w:r w:rsidR="00A041AB">
        <w:rPr>
          <w:rFonts w:ascii="Arial" w:hAnsi="Arial"/>
        </w:rPr>
        <w:t>urther information</w:t>
      </w:r>
      <w:r w:rsidR="003566FA">
        <w:rPr>
          <w:rFonts w:ascii="Arial" w:hAnsi="Arial"/>
        </w:rPr>
        <w:t xml:space="preserve"> on the NFF</w:t>
      </w:r>
      <w:r w:rsidR="00A041AB">
        <w:rPr>
          <w:rFonts w:ascii="Arial" w:hAnsi="Arial"/>
        </w:rPr>
        <w:t xml:space="preserve"> is provide</w:t>
      </w:r>
      <w:r w:rsidR="00C52617">
        <w:rPr>
          <w:rFonts w:ascii="Arial" w:hAnsi="Arial"/>
        </w:rPr>
        <w:t>d</w:t>
      </w:r>
      <w:r w:rsidR="00A041AB">
        <w:rPr>
          <w:rFonts w:ascii="Arial" w:hAnsi="Arial"/>
        </w:rPr>
        <w:t xml:space="preserve"> later in this guidance </w:t>
      </w:r>
      <w:r w:rsidR="003566FA">
        <w:rPr>
          <w:rFonts w:ascii="Arial" w:hAnsi="Arial"/>
        </w:rPr>
        <w:t>document.</w:t>
      </w:r>
    </w:p>
    <w:p w:rsidR="0090289B" w:rsidRDefault="005B05C1" w:rsidP="005D0D35">
      <w:pPr>
        <w:spacing w:before="120"/>
        <w:rPr>
          <w:rFonts w:ascii="Arial" w:hAnsi="Arial"/>
        </w:rPr>
      </w:pPr>
      <w:r>
        <w:rPr>
          <w:rFonts w:ascii="Arial" w:hAnsi="Arial"/>
        </w:rPr>
        <w:t xml:space="preserve">This year we have seen </w:t>
      </w:r>
      <w:r w:rsidR="00C52617">
        <w:rPr>
          <w:rFonts w:ascii="Arial" w:hAnsi="Arial"/>
        </w:rPr>
        <w:t xml:space="preserve">exceptional growth in the </w:t>
      </w:r>
      <w:r w:rsidR="00D70630">
        <w:rPr>
          <w:rFonts w:ascii="Arial" w:hAnsi="Arial"/>
        </w:rPr>
        <w:t xml:space="preserve">number of </w:t>
      </w:r>
      <w:r w:rsidR="00C52617">
        <w:rPr>
          <w:rFonts w:ascii="Arial" w:hAnsi="Arial"/>
        </w:rPr>
        <w:t>mainstream high needs</w:t>
      </w:r>
      <w:r w:rsidR="005834AD">
        <w:rPr>
          <w:rFonts w:ascii="Arial" w:hAnsi="Arial"/>
        </w:rPr>
        <w:t xml:space="preserve"> pupil</w:t>
      </w:r>
      <w:r w:rsidR="00D70630">
        <w:rPr>
          <w:rFonts w:ascii="Arial" w:hAnsi="Arial"/>
        </w:rPr>
        <w:t>s</w:t>
      </w:r>
      <w:r w:rsidR="005834AD">
        <w:rPr>
          <w:rFonts w:ascii="Arial" w:hAnsi="Arial"/>
        </w:rPr>
        <w:t xml:space="preserve"> </w:t>
      </w:r>
      <w:r w:rsidR="0090289B">
        <w:rPr>
          <w:rFonts w:ascii="Arial" w:hAnsi="Arial"/>
        </w:rPr>
        <w:t xml:space="preserve">and </w:t>
      </w:r>
      <w:r w:rsidR="00C05FDE">
        <w:rPr>
          <w:rFonts w:ascii="Arial" w:hAnsi="Arial"/>
        </w:rPr>
        <w:t>the LA is</w:t>
      </w:r>
      <w:r w:rsidR="0090289B">
        <w:rPr>
          <w:rFonts w:ascii="Arial" w:hAnsi="Arial"/>
        </w:rPr>
        <w:t xml:space="preserve"> now</w:t>
      </w:r>
      <w:r w:rsidR="00C52617">
        <w:rPr>
          <w:rFonts w:ascii="Arial" w:hAnsi="Arial"/>
        </w:rPr>
        <w:t xml:space="preserve"> forecast</w:t>
      </w:r>
      <w:r w:rsidR="0090289B">
        <w:rPr>
          <w:rFonts w:ascii="Arial" w:hAnsi="Arial"/>
        </w:rPr>
        <w:t xml:space="preserve">ing </w:t>
      </w:r>
      <w:r w:rsidR="003566FA">
        <w:rPr>
          <w:rFonts w:ascii="Arial" w:hAnsi="Arial"/>
        </w:rPr>
        <w:t xml:space="preserve">to </w:t>
      </w:r>
      <w:r w:rsidR="00C52617">
        <w:rPr>
          <w:rFonts w:ascii="Arial" w:hAnsi="Arial"/>
        </w:rPr>
        <w:t xml:space="preserve">spend </w:t>
      </w:r>
      <w:r w:rsidR="003566FA">
        <w:rPr>
          <w:rFonts w:ascii="Arial" w:hAnsi="Arial"/>
        </w:rPr>
        <w:t>a</w:t>
      </w:r>
      <w:r w:rsidR="00C52617">
        <w:rPr>
          <w:rFonts w:ascii="Arial" w:hAnsi="Arial"/>
        </w:rPr>
        <w:t>round</w:t>
      </w:r>
      <w:r w:rsidR="0090289B">
        <w:rPr>
          <w:rFonts w:ascii="Arial" w:hAnsi="Arial"/>
        </w:rPr>
        <w:t xml:space="preserve"> £23m. This is an increase of £9m since </w:t>
      </w:r>
      <w:r w:rsidR="00C80FA8">
        <w:rPr>
          <w:rFonts w:ascii="Arial" w:hAnsi="Arial"/>
        </w:rPr>
        <w:t>2015-16</w:t>
      </w:r>
      <w:r w:rsidR="0090289B">
        <w:rPr>
          <w:rFonts w:ascii="Arial" w:hAnsi="Arial"/>
        </w:rPr>
        <w:t xml:space="preserve">, and </w:t>
      </w:r>
      <w:r w:rsidR="00A55B49">
        <w:rPr>
          <w:rFonts w:ascii="Arial" w:hAnsi="Arial"/>
        </w:rPr>
        <w:t>an</w:t>
      </w:r>
      <w:r w:rsidR="0090289B">
        <w:rPr>
          <w:rFonts w:ascii="Arial" w:hAnsi="Arial"/>
        </w:rPr>
        <w:t xml:space="preserve"> over spend of £5m against a</w:t>
      </w:r>
      <w:r w:rsidR="003566FA">
        <w:rPr>
          <w:rFonts w:ascii="Arial" w:hAnsi="Arial"/>
        </w:rPr>
        <w:t xml:space="preserve">n available </w:t>
      </w:r>
      <w:r w:rsidR="0090289B">
        <w:rPr>
          <w:rFonts w:ascii="Arial" w:hAnsi="Arial"/>
        </w:rPr>
        <w:t xml:space="preserve">budget of £18m. </w:t>
      </w:r>
      <w:r w:rsidR="00D70630">
        <w:rPr>
          <w:rFonts w:ascii="Arial" w:hAnsi="Arial"/>
        </w:rPr>
        <w:t xml:space="preserve"> </w:t>
      </w:r>
      <w:r w:rsidR="001C6C84">
        <w:rPr>
          <w:rFonts w:ascii="Arial" w:hAnsi="Arial"/>
        </w:rPr>
        <w:t xml:space="preserve">Although the </w:t>
      </w:r>
      <w:r w:rsidR="0090289B">
        <w:rPr>
          <w:rFonts w:ascii="Arial" w:hAnsi="Arial"/>
        </w:rPr>
        <w:t>DSG Hi</w:t>
      </w:r>
      <w:r w:rsidR="00A55B49">
        <w:rPr>
          <w:rFonts w:ascii="Arial" w:hAnsi="Arial"/>
        </w:rPr>
        <w:t xml:space="preserve">gh Needs block has </w:t>
      </w:r>
      <w:r w:rsidR="001C6C84">
        <w:rPr>
          <w:rFonts w:ascii="Arial" w:hAnsi="Arial"/>
        </w:rPr>
        <w:t xml:space="preserve">received </w:t>
      </w:r>
      <w:r w:rsidR="00A55B49">
        <w:rPr>
          <w:rFonts w:ascii="Arial" w:hAnsi="Arial"/>
        </w:rPr>
        <w:t>a</w:t>
      </w:r>
      <w:r w:rsidR="001C6C84">
        <w:rPr>
          <w:rFonts w:ascii="Arial" w:hAnsi="Arial"/>
        </w:rPr>
        <w:t>n annual uplift for 2017-18 it is not sufficient to meet all of our pressures</w:t>
      </w:r>
      <w:r w:rsidR="005834AD">
        <w:rPr>
          <w:rFonts w:ascii="Arial" w:hAnsi="Arial"/>
        </w:rPr>
        <w:t>.</w:t>
      </w:r>
    </w:p>
    <w:p w:rsidR="00A041AB" w:rsidRDefault="00A55B49" w:rsidP="005D0D35">
      <w:pPr>
        <w:spacing w:before="120"/>
        <w:rPr>
          <w:rFonts w:ascii="Arial" w:hAnsi="Arial"/>
        </w:rPr>
      </w:pPr>
      <w:r>
        <w:rPr>
          <w:rFonts w:ascii="Arial" w:hAnsi="Arial"/>
        </w:rPr>
        <w:t xml:space="preserve">At the </w:t>
      </w:r>
      <w:r w:rsidR="00D70630">
        <w:rPr>
          <w:rFonts w:ascii="Arial" w:hAnsi="Arial"/>
        </w:rPr>
        <w:t>S</w:t>
      </w:r>
      <w:r w:rsidR="009319E5">
        <w:rPr>
          <w:rFonts w:ascii="Arial" w:hAnsi="Arial"/>
        </w:rPr>
        <w:t xml:space="preserve">chools’ Funding Forum </w:t>
      </w:r>
      <w:r w:rsidR="009319E5" w:rsidRPr="00134854">
        <w:rPr>
          <w:rFonts w:ascii="Arial" w:hAnsi="Arial"/>
        </w:rPr>
        <w:t>(SFF)</w:t>
      </w:r>
      <w:r>
        <w:rPr>
          <w:rFonts w:ascii="Arial" w:hAnsi="Arial"/>
        </w:rPr>
        <w:t xml:space="preserve"> meeting on the 9 </w:t>
      </w:r>
      <w:r w:rsidR="005834AD">
        <w:rPr>
          <w:rFonts w:ascii="Arial" w:hAnsi="Arial"/>
        </w:rPr>
        <w:t xml:space="preserve">December </w:t>
      </w:r>
      <w:r w:rsidR="00D70630">
        <w:rPr>
          <w:rFonts w:ascii="Arial" w:hAnsi="Arial"/>
        </w:rPr>
        <w:t xml:space="preserve">2016 </w:t>
      </w:r>
      <w:r w:rsidR="005834AD">
        <w:rPr>
          <w:rFonts w:ascii="Arial" w:hAnsi="Arial"/>
        </w:rPr>
        <w:t xml:space="preserve">the LA notified </w:t>
      </w:r>
      <w:r w:rsidR="00D70630">
        <w:rPr>
          <w:rFonts w:ascii="Arial" w:hAnsi="Arial"/>
        </w:rPr>
        <w:t>Forum</w:t>
      </w:r>
      <w:r w:rsidR="005834AD">
        <w:rPr>
          <w:rFonts w:ascii="Arial" w:hAnsi="Arial"/>
        </w:rPr>
        <w:t xml:space="preserve"> members of the mainstream high needs pressure. It was agreed that the overspend for 2016-17 would be taken from one off </w:t>
      </w:r>
      <w:r w:rsidR="001C6C84">
        <w:rPr>
          <w:rFonts w:ascii="Arial" w:hAnsi="Arial"/>
        </w:rPr>
        <w:t>unallocated</w:t>
      </w:r>
      <w:r w:rsidR="005834AD">
        <w:rPr>
          <w:rFonts w:ascii="Arial" w:hAnsi="Arial"/>
        </w:rPr>
        <w:t xml:space="preserve"> DSG </w:t>
      </w:r>
      <w:r w:rsidR="001C6C84">
        <w:rPr>
          <w:rFonts w:ascii="Arial" w:hAnsi="Arial"/>
        </w:rPr>
        <w:t xml:space="preserve">held in </w:t>
      </w:r>
      <w:r w:rsidR="005834AD">
        <w:rPr>
          <w:rFonts w:ascii="Arial" w:hAnsi="Arial"/>
        </w:rPr>
        <w:t xml:space="preserve">reserves and that </w:t>
      </w:r>
      <w:r w:rsidR="00C05FDE">
        <w:rPr>
          <w:rFonts w:ascii="Arial" w:hAnsi="Arial"/>
        </w:rPr>
        <w:t xml:space="preserve">the </w:t>
      </w:r>
      <w:r w:rsidR="005834AD">
        <w:rPr>
          <w:rFonts w:ascii="Arial" w:hAnsi="Arial"/>
        </w:rPr>
        <w:t xml:space="preserve">future cost for 2017-18 would be met by a transfer from the schools block </w:t>
      </w:r>
      <w:r w:rsidR="003F5F2C">
        <w:rPr>
          <w:rFonts w:ascii="Arial" w:hAnsi="Arial"/>
        </w:rPr>
        <w:t xml:space="preserve">of </w:t>
      </w:r>
      <w:r w:rsidR="005834AD">
        <w:rPr>
          <w:rFonts w:ascii="Arial" w:hAnsi="Arial"/>
        </w:rPr>
        <w:t xml:space="preserve">£5m. </w:t>
      </w:r>
    </w:p>
    <w:p w:rsidR="003F5F2C" w:rsidRDefault="001C6C84" w:rsidP="005D0D35">
      <w:pPr>
        <w:spacing w:before="120"/>
        <w:rPr>
          <w:rFonts w:ascii="Arial" w:hAnsi="Arial"/>
        </w:rPr>
      </w:pPr>
      <w:r>
        <w:rPr>
          <w:rFonts w:ascii="Arial" w:hAnsi="Arial"/>
        </w:rPr>
        <w:t xml:space="preserve">The demand for High Needs funding is largely coming from the </w:t>
      </w:r>
      <w:r w:rsidR="003F5F2C">
        <w:rPr>
          <w:rFonts w:ascii="Arial" w:hAnsi="Arial"/>
        </w:rPr>
        <w:t xml:space="preserve">primary </w:t>
      </w:r>
      <w:r>
        <w:rPr>
          <w:rFonts w:ascii="Arial" w:hAnsi="Arial"/>
        </w:rPr>
        <w:t xml:space="preserve">phase and as a result the LA recommend to the </w:t>
      </w:r>
      <w:r w:rsidR="00D70630">
        <w:rPr>
          <w:rFonts w:ascii="Arial" w:hAnsi="Arial"/>
        </w:rPr>
        <w:t>Forum</w:t>
      </w:r>
      <w:r>
        <w:rPr>
          <w:rFonts w:ascii="Arial" w:hAnsi="Arial"/>
        </w:rPr>
        <w:t>, who agreed, that the pressure</w:t>
      </w:r>
      <w:r w:rsidR="003F5F2C">
        <w:rPr>
          <w:rFonts w:ascii="Arial" w:hAnsi="Arial"/>
        </w:rPr>
        <w:t xml:space="preserve"> should be met by a reduction in the primary school Prior Attainment (PA) funding rate. </w:t>
      </w:r>
      <w:r>
        <w:rPr>
          <w:rFonts w:ascii="Arial" w:hAnsi="Arial"/>
        </w:rPr>
        <w:t xml:space="preserve"> </w:t>
      </w:r>
      <w:r w:rsidR="003F5F2C">
        <w:rPr>
          <w:rFonts w:ascii="Arial" w:hAnsi="Arial"/>
        </w:rPr>
        <w:t>F</w:t>
      </w:r>
      <w:r>
        <w:rPr>
          <w:rFonts w:ascii="Arial" w:hAnsi="Arial"/>
        </w:rPr>
        <w:t xml:space="preserve">or </w:t>
      </w:r>
      <w:r w:rsidR="003F5F2C">
        <w:rPr>
          <w:rFonts w:ascii="Arial" w:hAnsi="Arial"/>
        </w:rPr>
        <w:t>2017-18 the primary school funding rate for PA (factor 6) will decrease by £178.27</w:t>
      </w:r>
      <w:r w:rsidR="00D70630">
        <w:rPr>
          <w:rFonts w:ascii="Arial" w:hAnsi="Arial"/>
        </w:rPr>
        <w:t xml:space="preserve"> per eligible pupil</w:t>
      </w:r>
      <w:r w:rsidR="003F5F2C">
        <w:rPr>
          <w:rFonts w:ascii="Arial" w:hAnsi="Arial"/>
        </w:rPr>
        <w:t xml:space="preserve">. </w:t>
      </w:r>
    </w:p>
    <w:p w:rsidR="00BA42C6" w:rsidRDefault="0093733A" w:rsidP="005D0D35">
      <w:pPr>
        <w:spacing w:before="120"/>
        <w:rPr>
          <w:rFonts w:ascii="Arial" w:hAnsi="Arial"/>
        </w:rPr>
      </w:pPr>
      <w:r>
        <w:rPr>
          <w:rFonts w:ascii="Arial" w:hAnsi="Arial"/>
        </w:rPr>
        <w:t>The</w:t>
      </w:r>
      <w:r w:rsidR="003F5F2C">
        <w:rPr>
          <w:rFonts w:ascii="Arial" w:hAnsi="Arial"/>
        </w:rPr>
        <w:t xml:space="preserve"> exceptional growth in the number of </w:t>
      </w:r>
      <w:r>
        <w:rPr>
          <w:rFonts w:ascii="Arial" w:hAnsi="Arial"/>
        </w:rPr>
        <w:t>primary school high needs pupils is</w:t>
      </w:r>
      <w:r w:rsidR="0073783A">
        <w:rPr>
          <w:rFonts w:ascii="Arial" w:hAnsi="Arial"/>
        </w:rPr>
        <w:t xml:space="preserve"> a</w:t>
      </w:r>
      <w:r>
        <w:rPr>
          <w:rFonts w:ascii="Arial" w:hAnsi="Arial"/>
        </w:rPr>
        <w:t xml:space="preserve"> significant concern for the future and a combination of di</w:t>
      </w:r>
      <w:r w:rsidR="006622C3">
        <w:rPr>
          <w:rFonts w:ascii="Arial" w:hAnsi="Arial"/>
        </w:rPr>
        <w:t>fferent measure</w:t>
      </w:r>
      <w:r w:rsidR="007E745C">
        <w:rPr>
          <w:rFonts w:ascii="Arial" w:hAnsi="Arial"/>
        </w:rPr>
        <w:t>s</w:t>
      </w:r>
      <w:r w:rsidR="006622C3">
        <w:rPr>
          <w:rFonts w:ascii="Arial" w:hAnsi="Arial"/>
        </w:rPr>
        <w:t xml:space="preserve"> will need to be incorporated to manage future pressures if take up continues to increase. </w:t>
      </w:r>
      <w:r w:rsidR="001C6C84">
        <w:rPr>
          <w:rFonts w:ascii="Arial" w:hAnsi="Arial"/>
        </w:rPr>
        <w:t xml:space="preserve"> </w:t>
      </w:r>
      <w:r w:rsidR="006622C3">
        <w:rPr>
          <w:rFonts w:ascii="Arial" w:hAnsi="Arial"/>
        </w:rPr>
        <w:t xml:space="preserve">As an acknowledgement of likely future growth in 2017-18 the </w:t>
      </w:r>
      <w:r w:rsidR="0073783A">
        <w:rPr>
          <w:rFonts w:ascii="Arial" w:hAnsi="Arial"/>
        </w:rPr>
        <w:t>SFF</w:t>
      </w:r>
      <w:r w:rsidR="006622C3">
        <w:rPr>
          <w:rFonts w:ascii="Arial" w:hAnsi="Arial"/>
        </w:rPr>
        <w:t xml:space="preserve"> also recommended that the threshold</w:t>
      </w:r>
      <w:r w:rsidR="00BA42C6">
        <w:rPr>
          <w:rFonts w:ascii="Arial" w:hAnsi="Arial"/>
        </w:rPr>
        <w:t>s</w:t>
      </w:r>
      <w:r w:rsidR="006622C3">
        <w:rPr>
          <w:rFonts w:ascii="Arial" w:hAnsi="Arial"/>
        </w:rPr>
        <w:t xml:space="preserve"> for notio</w:t>
      </w:r>
      <w:r w:rsidR="0073783A">
        <w:rPr>
          <w:rFonts w:ascii="Arial" w:hAnsi="Arial"/>
        </w:rPr>
        <w:t xml:space="preserve">nal SEN top </w:t>
      </w:r>
      <w:r w:rsidR="00BA42C6">
        <w:rPr>
          <w:rFonts w:ascii="Arial" w:hAnsi="Arial"/>
        </w:rPr>
        <w:t xml:space="preserve">up </w:t>
      </w:r>
      <w:r w:rsidR="0073783A">
        <w:rPr>
          <w:rFonts w:ascii="Arial" w:hAnsi="Arial"/>
        </w:rPr>
        <w:t xml:space="preserve">should be increased to free up another £1.8m to meet the cost of further increases </w:t>
      </w:r>
      <w:r w:rsidR="00AA1C55">
        <w:rPr>
          <w:rFonts w:ascii="Arial" w:hAnsi="Arial"/>
        </w:rPr>
        <w:t>to mainstream high need</w:t>
      </w:r>
      <w:r w:rsidR="0073783A">
        <w:rPr>
          <w:rFonts w:ascii="Arial" w:hAnsi="Arial"/>
        </w:rPr>
        <w:t xml:space="preserve"> pupil numbers.</w:t>
      </w:r>
      <w:r w:rsidR="007044B9">
        <w:rPr>
          <w:rFonts w:ascii="Arial" w:hAnsi="Arial"/>
        </w:rPr>
        <w:t xml:space="preserve"> </w:t>
      </w:r>
      <w:r w:rsidR="001C6C84">
        <w:rPr>
          <w:rFonts w:ascii="Arial" w:hAnsi="Arial"/>
        </w:rPr>
        <w:t xml:space="preserve"> </w:t>
      </w:r>
      <w:r w:rsidR="007044B9">
        <w:rPr>
          <w:rFonts w:ascii="Arial" w:hAnsi="Arial"/>
        </w:rPr>
        <w:t xml:space="preserve">From </w:t>
      </w:r>
      <w:r w:rsidR="001C6C84">
        <w:rPr>
          <w:rFonts w:ascii="Arial" w:hAnsi="Arial"/>
        </w:rPr>
        <w:t xml:space="preserve">1 </w:t>
      </w:r>
      <w:r w:rsidR="007044B9">
        <w:rPr>
          <w:rFonts w:ascii="Arial" w:hAnsi="Arial"/>
        </w:rPr>
        <w:t xml:space="preserve">April 2017 the phase 1 threshold will increase from 3% to 10% and the phase 2 threshold will increase from 20% to 28%. </w:t>
      </w:r>
      <w:r w:rsidR="001C6C84">
        <w:rPr>
          <w:rFonts w:ascii="Arial" w:hAnsi="Arial"/>
        </w:rPr>
        <w:t xml:space="preserve"> </w:t>
      </w:r>
    </w:p>
    <w:p w:rsidR="003F5F2C" w:rsidRDefault="007044B9" w:rsidP="005D0D35">
      <w:pPr>
        <w:spacing w:before="120"/>
        <w:rPr>
          <w:rFonts w:ascii="Arial" w:hAnsi="Arial"/>
        </w:rPr>
      </w:pPr>
      <w:r>
        <w:rPr>
          <w:rFonts w:ascii="Arial" w:hAnsi="Arial"/>
        </w:rPr>
        <w:t>Setting the phase 1 threshold at 3% allowed schools with a notional SEN budget of up to £200,000 to receive partial reimbursement of the first £6,</w:t>
      </w:r>
      <w:r w:rsidR="00BA42C6">
        <w:rPr>
          <w:rFonts w:ascii="Arial" w:hAnsi="Arial"/>
        </w:rPr>
        <w:t xml:space="preserve">000. Setting it at 10% will </w:t>
      </w:r>
      <w:r w:rsidR="00AA1C55">
        <w:rPr>
          <w:rFonts w:ascii="Arial" w:hAnsi="Arial"/>
        </w:rPr>
        <w:t xml:space="preserve">allow </w:t>
      </w:r>
      <w:r>
        <w:rPr>
          <w:rFonts w:ascii="Arial" w:hAnsi="Arial"/>
        </w:rPr>
        <w:t>schools with a notional SEN budget of up to £60,000 to receive partial reimbursement of the</w:t>
      </w:r>
      <w:r w:rsidR="00BA42C6">
        <w:rPr>
          <w:rFonts w:ascii="Arial" w:hAnsi="Arial"/>
        </w:rPr>
        <w:t xml:space="preserve"> first</w:t>
      </w:r>
      <w:r>
        <w:rPr>
          <w:rFonts w:ascii="Arial" w:hAnsi="Arial"/>
        </w:rPr>
        <w:t xml:space="preserve"> £6,000 and therefore protection will still be provided for schools with small notional SEN budgets.</w:t>
      </w:r>
      <w:r w:rsidR="00B339C6">
        <w:rPr>
          <w:rFonts w:ascii="Arial" w:hAnsi="Arial"/>
        </w:rPr>
        <w:t xml:space="preserve"> </w:t>
      </w:r>
      <w:r w:rsidR="00BE1A26">
        <w:rPr>
          <w:rFonts w:ascii="Arial" w:hAnsi="Arial"/>
        </w:rPr>
        <w:t xml:space="preserve">You can access </w:t>
      </w:r>
      <w:r w:rsidR="00B339C6">
        <w:rPr>
          <w:rFonts w:ascii="Arial" w:hAnsi="Arial"/>
        </w:rPr>
        <w:t xml:space="preserve">guidance on the operation of mainstream high needs </w:t>
      </w:r>
      <w:r w:rsidR="002F2752" w:rsidRPr="002F2752">
        <w:rPr>
          <w:rFonts w:ascii="Arial" w:hAnsi="Arial"/>
        </w:rPr>
        <w:t xml:space="preserve">in </w:t>
      </w:r>
      <w:hyperlink w:anchor="SectionF" w:history="1">
        <w:r w:rsidR="002F2752" w:rsidRPr="002F2752">
          <w:rPr>
            <w:rStyle w:val="Hyperlink"/>
            <w:rFonts w:ascii="Arial" w:hAnsi="Arial"/>
          </w:rPr>
          <w:t xml:space="preserve">Section </w:t>
        </w:r>
        <w:r w:rsidR="002F2752">
          <w:rPr>
            <w:rStyle w:val="Hyperlink"/>
            <w:rFonts w:ascii="Arial" w:hAnsi="Arial"/>
          </w:rPr>
          <w:t>F</w:t>
        </w:r>
      </w:hyperlink>
      <w:r w:rsidR="00B339C6" w:rsidRPr="002F2752">
        <w:rPr>
          <w:rFonts w:ascii="Arial" w:hAnsi="Arial"/>
        </w:rPr>
        <w:t>.</w:t>
      </w:r>
    </w:p>
    <w:p w:rsidR="00B339C6" w:rsidRDefault="00B339C6" w:rsidP="005D0D35">
      <w:pPr>
        <w:spacing w:before="120"/>
        <w:rPr>
          <w:rFonts w:ascii="Arial" w:hAnsi="Arial"/>
          <w:u w:val="single"/>
        </w:rPr>
      </w:pPr>
    </w:p>
    <w:p w:rsidR="00472F5C" w:rsidRDefault="00472F5C" w:rsidP="005D0D35">
      <w:pPr>
        <w:spacing w:before="120"/>
        <w:rPr>
          <w:rFonts w:ascii="Arial" w:hAnsi="Arial"/>
          <w:u w:val="single"/>
        </w:rPr>
      </w:pPr>
      <w:r>
        <w:rPr>
          <w:rFonts w:ascii="Arial" w:hAnsi="Arial"/>
          <w:u w:val="single"/>
        </w:rPr>
        <w:t>National Funding</w:t>
      </w:r>
      <w:r w:rsidR="001C6C84">
        <w:rPr>
          <w:rFonts w:ascii="Arial" w:hAnsi="Arial"/>
          <w:u w:val="single"/>
        </w:rPr>
        <w:t xml:space="preserve"> Formula</w:t>
      </w:r>
      <w:r w:rsidR="00C1675E">
        <w:rPr>
          <w:rFonts w:ascii="Arial" w:hAnsi="Arial"/>
          <w:u w:val="single"/>
        </w:rPr>
        <w:t xml:space="preserve"> (NNF)</w:t>
      </w:r>
    </w:p>
    <w:p w:rsidR="00B339C6" w:rsidRDefault="004851B7" w:rsidP="005D0D35">
      <w:pPr>
        <w:spacing w:before="120"/>
        <w:rPr>
          <w:rFonts w:ascii="Arial" w:hAnsi="Arial"/>
        </w:rPr>
      </w:pPr>
      <w:r>
        <w:rPr>
          <w:rFonts w:ascii="Arial" w:hAnsi="Arial"/>
        </w:rPr>
        <w:t xml:space="preserve">On the </w:t>
      </w:r>
      <w:r w:rsidRPr="00622403">
        <w:rPr>
          <w:rFonts w:ascii="Arial" w:hAnsi="Arial"/>
        </w:rPr>
        <w:t>13 December 2016</w:t>
      </w:r>
      <w:r>
        <w:rPr>
          <w:rFonts w:ascii="Arial" w:hAnsi="Arial"/>
        </w:rPr>
        <w:t xml:space="preserve"> t</w:t>
      </w:r>
      <w:r w:rsidR="00B339C6">
        <w:rPr>
          <w:rFonts w:ascii="Arial" w:hAnsi="Arial"/>
        </w:rPr>
        <w:t xml:space="preserve">he </w:t>
      </w:r>
      <w:r w:rsidR="00BE1A26">
        <w:rPr>
          <w:rFonts w:ascii="Arial" w:hAnsi="Arial"/>
        </w:rPr>
        <w:t>G</w:t>
      </w:r>
      <w:r w:rsidR="00B339C6">
        <w:rPr>
          <w:rFonts w:ascii="Arial" w:hAnsi="Arial"/>
        </w:rPr>
        <w:t xml:space="preserve">overnment announced its long awaited response to the </w:t>
      </w:r>
      <w:r w:rsidR="001C6C84">
        <w:rPr>
          <w:rFonts w:ascii="Arial" w:hAnsi="Arial"/>
        </w:rPr>
        <w:t xml:space="preserve">first stage </w:t>
      </w:r>
      <w:r>
        <w:rPr>
          <w:rFonts w:ascii="Arial" w:hAnsi="Arial"/>
        </w:rPr>
        <w:t>consultation</w:t>
      </w:r>
      <w:r w:rsidR="001C6C84">
        <w:rPr>
          <w:rFonts w:ascii="Arial" w:hAnsi="Arial"/>
        </w:rPr>
        <w:t xml:space="preserve"> </w:t>
      </w:r>
      <w:r w:rsidR="00BE1A26">
        <w:rPr>
          <w:rFonts w:ascii="Arial" w:hAnsi="Arial"/>
        </w:rPr>
        <w:t xml:space="preserve">on the introduction of a National Funding Formula for schools, </w:t>
      </w:r>
      <w:r w:rsidR="001C6C84">
        <w:rPr>
          <w:rFonts w:ascii="Arial" w:hAnsi="Arial"/>
        </w:rPr>
        <w:t>which focused on the principles and building blocks</w:t>
      </w:r>
      <w:r w:rsidR="00BA42C6">
        <w:rPr>
          <w:rFonts w:ascii="Arial" w:hAnsi="Arial"/>
        </w:rPr>
        <w:t xml:space="preserve">. In addition to the response </w:t>
      </w:r>
      <w:r w:rsidR="00BE1A26">
        <w:rPr>
          <w:rFonts w:ascii="Arial" w:hAnsi="Arial"/>
        </w:rPr>
        <w:t>they</w:t>
      </w:r>
      <w:r w:rsidR="00BA42C6">
        <w:rPr>
          <w:rFonts w:ascii="Arial" w:hAnsi="Arial"/>
        </w:rPr>
        <w:t xml:space="preserve"> also launched a </w:t>
      </w:r>
      <w:r w:rsidR="00C1675E">
        <w:rPr>
          <w:rFonts w:ascii="Arial" w:hAnsi="Arial"/>
        </w:rPr>
        <w:t xml:space="preserve">stage 2 </w:t>
      </w:r>
      <w:r w:rsidR="00BA42C6">
        <w:rPr>
          <w:rFonts w:ascii="Arial" w:hAnsi="Arial"/>
        </w:rPr>
        <w:t>cons</w:t>
      </w:r>
      <w:r w:rsidR="00D81D97">
        <w:rPr>
          <w:rFonts w:ascii="Arial" w:hAnsi="Arial"/>
        </w:rPr>
        <w:t>u</w:t>
      </w:r>
      <w:r w:rsidR="00BA42C6">
        <w:rPr>
          <w:rFonts w:ascii="Arial" w:hAnsi="Arial"/>
        </w:rPr>
        <w:t>l</w:t>
      </w:r>
      <w:r w:rsidR="00D81D97">
        <w:rPr>
          <w:rFonts w:ascii="Arial" w:hAnsi="Arial"/>
        </w:rPr>
        <w:t>t</w:t>
      </w:r>
      <w:r w:rsidR="00BA42C6">
        <w:rPr>
          <w:rFonts w:ascii="Arial" w:hAnsi="Arial"/>
        </w:rPr>
        <w:t xml:space="preserve">ation </w:t>
      </w:r>
      <w:r w:rsidR="00C1675E">
        <w:rPr>
          <w:rFonts w:ascii="Arial" w:hAnsi="Arial"/>
        </w:rPr>
        <w:t xml:space="preserve">that focused on the relative weightings and factors within </w:t>
      </w:r>
      <w:r w:rsidR="00BE1A26">
        <w:rPr>
          <w:rFonts w:ascii="Arial" w:hAnsi="Arial"/>
        </w:rPr>
        <w:t>the</w:t>
      </w:r>
      <w:r w:rsidR="009319E5">
        <w:rPr>
          <w:rFonts w:ascii="Arial" w:hAnsi="Arial"/>
        </w:rPr>
        <w:t xml:space="preserve"> NFF</w:t>
      </w:r>
      <w:r w:rsidR="00C1675E">
        <w:rPr>
          <w:rFonts w:ascii="Arial" w:hAnsi="Arial"/>
        </w:rPr>
        <w:t xml:space="preserve">.  The </w:t>
      </w:r>
      <w:r w:rsidR="009319E5">
        <w:rPr>
          <w:rFonts w:ascii="Arial" w:hAnsi="Arial"/>
        </w:rPr>
        <w:t xml:space="preserve">consultation </w:t>
      </w:r>
      <w:r w:rsidR="00C1675E">
        <w:rPr>
          <w:rFonts w:ascii="Arial" w:hAnsi="Arial"/>
        </w:rPr>
        <w:t>closes on</w:t>
      </w:r>
      <w:r w:rsidR="009319E5">
        <w:rPr>
          <w:rFonts w:ascii="Arial" w:hAnsi="Arial"/>
        </w:rPr>
        <w:t xml:space="preserve"> the 22 March 2017. </w:t>
      </w:r>
      <w:r w:rsidR="00C1675E">
        <w:rPr>
          <w:rFonts w:ascii="Arial" w:hAnsi="Arial"/>
        </w:rPr>
        <w:t xml:space="preserve"> </w:t>
      </w:r>
      <w:r w:rsidR="009319E5">
        <w:rPr>
          <w:rFonts w:ascii="Arial" w:hAnsi="Arial"/>
        </w:rPr>
        <w:t xml:space="preserve">Currently a joint response on behalf of the LA and SFF is being compiled, and we would like to </w:t>
      </w:r>
      <w:r w:rsidR="00101042">
        <w:rPr>
          <w:rFonts w:ascii="Arial" w:hAnsi="Arial"/>
        </w:rPr>
        <w:t xml:space="preserve">take this opportunity </w:t>
      </w:r>
      <w:r w:rsidR="00C1675E">
        <w:rPr>
          <w:rFonts w:ascii="Arial" w:hAnsi="Arial"/>
        </w:rPr>
        <w:t xml:space="preserve">to </w:t>
      </w:r>
      <w:r w:rsidR="009319E5">
        <w:rPr>
          <w:rFonts w:ascii="Arial" w:hAnsi="Arial"/>
        </w:rPr>
        <w:t xml:space="preserve">encourage </w:t>
      </w:r>
      <w:r w:rsidR="00C1675E">
        <w:rPr>
          <w:rFonts w:ascii="Arial" w:hAnsi="Arial"/>
        </w:rPr>
        <w:t xml:space="preserve">all </w:t>
      </w:r>
      <w:r w:rsidR="009319E5">
        <w:rPr>
          <w:rFonts w:ascii="Arial" w:hAnsi="Arial"/>
        </w:rPr>
        <w:t xml:space="preserve">schools to submit their own responses to this very important </w:t>
      </w:r>
      <w:r w:rsidR="00101042">
        <w:rPr>
          <w:rFonts w:ascii="Arial" w:hAnsi="Arial"/>
        </w:rPr>
        <w:t>event</w:t>
      </w:r>
      <w:r w:rsidR="009319E5">
        <w:rPr>
          <w:rFonts w:ascii="Arial" w:hAnsi="Arial"/>
        </w:rPr>
        <w:t xml:space="preserve">. </w:t>
      </w:r>
      <w:r w:rsidR="00C1675E">
        <w:rPr>
          <w:rFonts w:ascii="Arial" w:hAnsi="Arial"/>
        </w:rPr>
        <w:t xml:space="preserve"> </w:t>
      </w:r>
      <w:r w:rsidR="009319E5">
        <w:rPr>
          <w:rFonts w:ascii="Arial" w:hAnsi="Arial"/>
        </w:rPr>
        <w:t xml:space="preserve">An </w:t>
      </w:r>
      <w:hyperlink r:id="rId15" w:history="1">
        <w:r w:rsidR="00BA42C6" w:rsidRPr="00BE1A26">
          <w:rPr>
            <w:rStyle w:val="Hyperlink"/>
            <w:rFonts w:ascii="Arial" w:hAnsi="Arial"/>
          </w:rPr>
          <w:t xml:space="preserve">e- bulletin issued on the </w:t>
        </w:r>
        <w:r w:rsidR="00C1675E" w:rsidRPr="00BE1A26">
          <w:rPr>
            <w:rStyle w:val="Hyperlink"/>
            <w:rFonts w:ascii="Arial" w:hAnsi="Arial"/>
          </w:rPr>
          <w:t>24</w:t>
        </w:r>
        <w:r w:rsidR="00BA42C6" w:rsidRPr="00BE1A26">
          <w:rPr>
            <w:rStyle w:val="Hyperlink"/>
            <w:rFonts w:ascii="Arial" w:hAnsi="Arial"/>
          </w:rPr>
          <w:t xml:space="preserve"> January </w:t>
        </w:r>
        <w:r w:rsidR="00C1675E" w:rsidRPr="00BE1A26">
          <w:rPr>
            <w:rStyle w:val="Hyperlink"/>
            <w:rFonts w:ascii="Arial" w:hAnsi="Arial"/>
          </w:rPr>
          <w:t>2017</w:t>
        </w:r>
      </w:hyperlink>
      <w:r w:rsidR="00C1675E">
        <w:rPr>
          <w:rFonts w:ascii="Arial" w:hAnsi="Arial"/>
        </w:rPr>
        <w:t xml:space="preserve"> </w:t>
      </w:r>
      <w:r w:rsidR="00BA42C6">
        <w:rPr>
          <w:rFonts w:ascii="Arial" w:hAnsi="Arial"/>
        </w:rPr>
        <w:t xml:space="preserve">provides details </w:t>
      </w:r>
      <w:r w:rsidR="009319E5">
        <w:rPr>
          <w:rFonts w:ascii="Arial" w:hAnsi="Arial"/>
        </w:rPr>
        <w:t>of the contents of the consultations</w:t>
      </w:r>
      <w:r w:rsidR="00C1675E">
        <w:rPr>
          <w:rFonts w:ascii="Arial" w:hAnsi="Arial"/>
        </w:rPr>
        <w:t xml:space="preserve">, the implications for Kent and its </w:t>
      </w:r>
      <w:r w:rsidR="00BE1A26">
        <w:rPr>
          <w:rFonts w:ascii="Arial" w:hAnsi="Arial"/>
        </w:rPr>
        <w:t>s</w:t>
      </w:r>
      <w:r w:rsidR="00C1675E">
        <w:rPr>
          <w:rFonts w:ascii="Arial" w:hAnsi="Arial"/>
        </w:rPr>
        <w:t>chools</w:t>
      </w:r>
      <w:r w:rsidR="009319E5">
        <w:rPr>
          <w:rFonts w:ascii="Arial" w:hAnsi="Arial"/>
        </w:rPr>
        <w:t xml:space="preserve"> and a link to an illustration </w:t>
      </w:r>
      <w:r w:rsidR="00C1675E">
        <w:rPr>
          <w:rFonts w:ascii="Arial" w:hAnsi="Arial"/>
        </w:rPr>
        <w:t xml:space="preserve">tool </w:t>
      </w:r>
      <w:r w:rsidR="009319E5">
        <w:rPr>
          <w:rFonts w:ascii="Arial" w:hAnsi="Arial"/>
        </w:rPr>
        <w:t xml:space="preserve">showing what </w:t>
      </w:r>
      <w:r w:rsidR="00BE1A26">
        <w:rPr>
          <w:rFonts w:ascii="Arial" w:hAnsi="Arial"/>
        </w:rPr>
        <w:t>each</w:t>
      </w:r>
      <w:r w:rsidR="009319E5">
        <w:rPr>
          <w:rFonts w:ascii="Arial" w:hAnsi="Arial"/>
        </w:rPr>
        <w:t xml:space="preserve"> school would </w:t>
      </w:r>
      <w:r w:rsidR="00BE1A26">
        <w:rPr>
          <w:rFonts w:ascii="Arial" w:hAnsi="Arial"/>
        </w:rPr>
        <w:t>receive</w:t>
      </w:r>
      <w:r w:rsidR="009319E5">
        <w:rPr>
          <w:rFonts w:ascii="Arial" w:hAnsi="Arial"/>
        </w:rPr>
        <w:t xml:space="preserve"> in the future based on the </w:t>
      </w:r>
      <w:r w:rsidR="00C1675E">
        <w:rPr>
          <w:rFonts w:ascii="Arial" w:hAnsi="Arial"/>
        </w:rPr>
        <w:t>consultation proposals</w:t>
      </w:r>
      <w:r w:rsidR="009319E5">
        <w:rPr>
          <w:rFonts w:ascii="Arial" w:hAnsi="Arial"/>
        </w:rPr>
        <w:t>.</w:t>
      </w:r>
    </w:p>
    <w:p w:rsidR="00B339C6" w:rsidRDefault="00B339C6" w:rsidP="005D0D35">
      <w:pPr>
        <w:spacing w:before="120"/>
        <w:rPr>
          <w:rFonts w:ascii="Arial" w:hAnsi="Arial"/>
          <w:u w:val="single"/>
        </w:rPr>
      </w:pPr>
    </w:p>
    <w:p w:rsidR="00804363" w:rsidRDefault="00804363" w:rsidP="005D0D35">
      <w:pPr>
        <w:spacing w:before="120"/>
        <w:rPr>
          <w:rFonts w:ascii="Arial" w:hAnsi="Arial"/>
        </w:rPr>
      </w:pPr>
    </w:p>
    <w:p w:rsidR="00B339C6" w:rsidRDefault="00C1675E" w:rsidP="005D0D35">
      <w:pPr>
        <w:spacing w:before="120"/>
        <w:rPr>
          <w:rFonts w:ascii="Arial" w:hAnsi="Arial"/>
        </w:rPr>
      </w:pPr>
      <w:r>
        <w:rPr>
          <w:rFonts w:ascii="Arial" w:hAnsi="Arial"/>
        </w:rPr>
        <w:lastRenderedPageBreak/>
        <w:t>The h</w:t>
      </w:r>
      <w:r w:rsidR="002B46CD">
        <w:rPr>
          <w:rFonts w:ascii="Arial" w:hAnsi="Arial"/>
        </w:rPr>
        <w:t xml:space="preserve">eadlines from the </w:t>
      </w:r>
      <w:r>
        <w:rPr>
          <w:rFonts w:ascii="Arial" w:hAnsi="Arial"/>
        </w:rPr>
        <w:t xml:space="preserve">consultation </w:t>
      </w:r>
      <w:r w:rsidR="002B46CD">
        <w:rPr>
          <w:rFonts w:ascii="Arial" w:hAnsi="Arial"/>
        </w:rPr>
        <w:t>proposal</w:t>
      </w:r>
      <w:r>
        <w:rPr>
          <w:rFonts w:ascii="Arial" w:hAnsi="Arial"/>
        </w:rPr>
        <w:t>s</w:t>
      </w:r>
      <w:r w:rsidR="002B46CD">
        <w:rPr>
          <w:rFonts w:ascii="Arial" w:hAnsi="Arial"/>
        </w:rPr>
        <w:t xml:space="preserve"> </w:t>
      </w:r>
      <w:r>
        <w:rPr>
          <w:rFonts w:ascii="Arial" w:hAnsi="Arial"/>
        </w:rPr>
        <w:t>are</w:t>
      </w:r>
      <w:r w:rsidR="002B46CD">
        <w:rPr>
          <w:rFonts w:ascii="Arial" w:hAnsi="Arial"/>
        </w:rPr>
        <w:t>:</w:t>
      </w:r>
    </w:p>
    <w:p w:rsidR="00AF5896" w:rsidRDefault="00AF5896" w:rsidP="002B46CD">
      <w:pPr>
        <w:pStyle w:val="ListParagraph"/>
        <w:numPr>
          <w:ilvl w:val="0"/>
          <w:numId w:val="33"/>
        </w:numPr>
        <w:spacing w:before="120"/>
        <w:rPr>
          <w:rFonts w:ascii="Arial" w:hAnsi="Arial"/>
        </w:rPr>
      </w:pPr>
      <w:r>
        <w:rPr>
          <w:rFonts w:ascii="Arial" w:hAnsi="Arial"/>
        </w:rPr>
        <w:t>Overall Kent schools will benefit by an estimate</w:t>
      </w:r>
      <w:r w:rsidR="00C1675E">
        <w:rPr>
          <w:rFonts w:ascii="Arial" w:hAnsi="Arial"/>
        </w:rPr>
        <w:t>d</w:t>
      </w:r>
      <w:r>
        <w:rPr>
          <w:rFonts w:ascii="Arial" w:hAnsi="Arial"/>
        </w:rPr>
        <w:t xml:space="preserve"> £12m in 2018-19, rising to £</w:t>
      </w:r>
      <w:r w:rsidR="00C1675E">
        <w:rPr>
          <w:rFonts w:ascii="Arial" w:hAnsi="Arial"/>
        </w:rPr>
        <w:t>30</w:t>
      </w:r>
      <w:r>
        <w:rPr>
          <w:rFonts w:ascii="Arial" w:hAnsi="Arial"/>
        </w:rPr>
        <w:t xml:space="preserve">m </w:t>
      </w:r>
      <w:r w:rsidR="00C1675E">
        <w:rPr>
          <w:rFonts w:ascii="Arial" w:hAnsi="Arial"/>
        </w:rPr>
        <w:t>when the NFF is fully implemented, but not all Kent schools will receive a share of this additional funding.</w:t>
      </w:r>
    </w:p>
    <w:p w:rsidR="00C1675E" w:rsidRDefault="00C1675E" w:rsidP="002B46CD">
      <w:pPr>
        <w:pStyle w:val="ListParagraph"/>
        <w:numPr>
          <w:ilvl w:val="0"/>
          <w:numId w:val="33"/>
        </w:numPr>
        <w:spacing w:before="120"/>
        <w:rPr>
          <w:rFonts w:ascii="Arial" w:hAnsi="Arial"/>
        </w:rPr>
      </w:pPr>
      <w:r>
        <w:rPr>
          <w:rFonts w:ascii="Arial" w:hAnsi="Arial"/>
        </w:rPr>
        <w:t>A soft NFF will be implemented in 2018-19</w:t>
      </w:r>
      <w:r w:rsidR="0060789A">
        <w:rPr>
          <w:rFonts w:ascii="Arial" w:hAnsi="Arial"/>
        </w:rPr>
        <w:t xml:space="preserve"> (local formula)</w:t>
      </w:r>
      <w:r>
        <w:rPr>
          <w:rFonts w:ascii="Arial" w:hAnsi="Arial"/>
        </w:rPr>
        <w:t xml:space="preserve">, followed by a </w:t>
      </w:r>
      <w:r w:rsidR="002B46CD">
        <w:rPr>
          <w:rFonts w:ascii="Arial" w:hAnsi="Arial"/>
        </w:rPr>
        <w:t xml:space="preserve">hard </w:t>
      </w:r>
      <w:r>
        <w:rPr>
          <w:rFonts w:ascii="Arial" w:hAnsi="Arial"/>
        </w:rPr>
        <w:t>NFF</w:t>
      </w:r>
      <w:r w:rsidR="002B46CD">
        <w:rPr>
          <w:rFonts w:ascii="Arial" w:hAnsi="Arial"/>
        </w:rPr>
        <w:t xml:space="preserve"> </w:t>
      </w:r>
      <w:r>
        <w:rPr>
          <w:rFonts w:ascii="Arial" w:hAnsi="Arial"/>
        </w:rPr>
        <w:t>in 2019-20</w:t>
      </w:r>
      <w:r w:rsidR="0060789A">
        <w:rPr>
          <w:rFonts w:ascii="Arial" w:hAnsi="Arial"/>
        </w:rPr>
        <w:t xml:space="preserve"> (national formula where all schools will be funded using the same factors and nationally set funding rates)</w:t>
      </w:r>
      <w:r>
        <w:rPr>
          <w:rFonts w:ascii="Arial" w:hAnsi="Arial"/>
        </w:rPr>
        <w:t>.</w:t>
      </w:r>
    </w:p>
    <w:p w:rsidR="0060789A" w:rsidRPr="0060789A" w:rsidRDefault="00AF5896" w:rsidP="0060789A">
      <w:pPr>
        <w:pStyle w:val="ListParagraph"/>
        <w:numPr>
          <w:ilvl w:val="0"/>
          <w:numId w:val="33"/>
        </w:numPr>
        <w:spacing w:before="120"/>
        <w:rPr>
          <w:rFonts w:ascii="Arial" w:hAnsi="Arial"/>
        </w:rPr>
      </w:pPr>
      <w:r>
        <w:rPr>
          <w:rFonts w:ascii="Arial" w:hAnsi="Arial"/>
        </w:rPr>
        <w:t>Gains will be phased in gradually</w:t>
      </w:r>
      <w:r w:rsidR="0060789A">
        <w:rPr>
          <w:rFonts w:ascii="Arial" w:hAnsi="Arial"/>
        </w:rPr>
        <w:t xml:space="preserve"> with</w:t>
      </w:r>
      <w:r>
        <w:rPr>
          <w:rFonts w:ascii="Arial" w:hAnsi="Arial"/>
        </w:rPr>
        <w:t xml:space="preserve"> schools receiving a</w:t>
      </w:r>
      <w:r w:rsidR="0060789A">
        <w:rPr>
          <w:rFonts w:ascii="Arial" w:hAnsi="Arial"/>
        </w:rPr>
        <w:t xml:space="preserve"> maximum 5.5%</w:t>
      </w:r>
      <w:r>
        <w:rPr>
          <w:rFonts w:ascii="Arial" w:hAnsi="Arial"/>
        </w:rPr>
        <w:t>increase</w:t>
      </w:r>
      <w:r w:rsidR="00D17A25">
        <w:rPr>
          <w:rFonts w:ascii="Arial" w:hAnsi="Arial"/>
        </w:rPr>
        <w:t xml:space="preserve"> </w:t>
      </w:r>
      <w:r>
        <w:rPr>
          <w:rFonts w:ascii="Arial" w:hAnsi="Arial"/>
        </w:rPr>
        <w:t>by 2019-20</w:t>
      </w:r>
      <w:r w:rsidRPr="0060789A">
        <w:rPr>
          <w:rFonts w:ascii="Arial" w:hAnsi="Arial"/>
        </w:rPr>
        <w:t xml:space="preserve">.  </w:t>
      </w:r>
      <w:r w:rsidR="00D17A25" w:rsidRPr="0060789A">
        <w:rPr>
          <w:rFonts w:ascii="Arial" w:hAnsi="Arial"/>
        </w:rPr>
        <w:t xml:space="preserve">If gains are greater than 5.5% it will not be determined until the next </w:t>
      </w:r>
      <w:r w:rsidR="0060789A" w:rsidRPr="0060789A">
        <w:rPr>
          <w:rFonts w:ascii="Arial" w:hAnsi="Arial"/>
        </w:rPr>
        <w:t>P</w:t>
      </w:r>
      <w:r w:rsidR="00D17A25" w:rsidRPr="0060789A">
        <w:rPr>
          <w:rFonts w:ascii="Arial" w:hAnsi="Arial"/>
        </w:rPr>
        <w:t>arliament when schools will receive the full benefit from the</w:t>
      </w:r>
      <w:r w:rsidR="0060789A" w:rsidRPr="0060789A">
        <w:rPr>
          <w:rFonts w:ascii="Arial" w:hAnsi="Arial"/>
        </w:rPr>
        <w:t xml:space="preserve">se proposals. </w:t>
      </w:r>
    </w:p>
    <w:p w:rsidR="00D17A25" w:rsidRPr="0060789A" w:rsidRDefault="0060789A" w:rsidP="002B46CD">
      <w:pPr>
        <w:pStyle w:val="ListParagraph"/>
        <w:numPr>
          <w:ilvl w:val="0"/>
          <w:numId w:val="33"/>
        </w:numPr>
        <w:spacing w:before="120"/>
        <w:rPr>
          <w:rFonts w:ascii="Arial" w:hAnsi="Arial"/>
        </w:rPr>
      </w:pPr>
      <w:r w:rsidRPr="0060789A">
        <w:rPr>
          <w:rFonts w:ascii="Arial" w:hAnsi="Arial"/>
        </w:rPr>
        <w:t>S</w:t>
      </w:r>
      <w:r w:rsidR="00EC644D" w:rsidRPr="0060789A">
        <w:rPr>
          <w:rFonts w:ascii="Arial" w:hAnsi="Arial"/>
        </w:rPr>
        <w:t>chools will continue</w:t>
      </w:r>
      <w:r w:rsidR="00D17A25" w:rsidRPr="0060789A">
        <w:rPr>
          <w:rFonts w:ascii="Arial" w:hAnsi="Arial"/>
        </w:rPr>
        <w:t xml:space="preserve"> to be protected </w:t>
      </w:r>
      <w:r w:rsidRPr="0060789A">
        <w:rPr>
          <w:rFonts w:ascii="Arial" w:hAnsi="Arial"/>
        </w:rPr>
        <w:t>by</w:t>
      </w:r>
      <w:r w:rsidR="00D17A25" w:rsidRPr="0060789A">
        <w:rPr>
          <w:rFonts w:ascii="Arial" w:hAnsi="Arial"/>
        </w:rPr>
        <w:t xml:space="preserve"> the Minimum Funding Guarantee (MFG) of –1.5%, and </w:t>
      </w:r>
      <w:r w:rsidR="00BE1A26">
        <w:rPr>
          <w:rFonts w:ascii="Arial" w:hAnsi="Arial"/>
        </w:rPr>
        <w:t xml:space="preserve">in addition </w:t>
      </w:r>
      <w:r w:rsidR="00D17A25" w:rsidRPr="0060789A">
        <w:rPr>
          <w:rFonts w:ascii="Arial" w:hAnsi="Arial"/>
        </w:rPr>
        <w:t xml:space="preserve">any loss will be capped </w:t>
      </w:r>
      <w:r w:rsidRPr="0060789A">
        <w:rPr>
          <w:rFonts w:ascii="Arial" w:hAnsi="Arial"/>
        </w:rPr>
        <w:t xml:space="preserve">by the introduction of a new Funding Floor which has been set at </w:t>
      </w:r>
      <w:r w:rsidR="00D17A25" w:rsidRPr="0060789A">
        <w:rPr>
          <w:rFonts w:ascii="Arial" w:hAnsi="Arial"/>
        </w:rPr>
        <w:t>-3%</w:t>
      </w:r>
      <w:r w:rsidRPr="0060789A">
        <w:rPr>
          <w:rFonts w:ascii="Arial" w:hAnsi="Arial"/>
        </w:rPr>
        <w:t>.</w:t>
      </w:r>
      <w:r w:rsidR="00D17A25" w:rsidRPr="0060789A">
        <w:rPr>
          <w:rFonts w:ascii="Arial" w:hAnsi="Arial"/>
        </w:rPr>
        <w:t xml:space="preserve"> </w:t>
      </w:r>
    </w:p>
    <w:p w:rsidR="00BF4E74" w:rsidRDefault="00BF4E74" w:rsidP="005D0D35">
      <w:pPr>
        <w:spacing w:before="120"/>
        <w:rPr>
          <w:rFonts w:ascii="Arial" w:hAnsi="Arial"/>
          <w:u w:val="single"/>
        </w:rPr>
      </w:pPr>
    </w:p>
    <w:p w:rsidR="002B46CD" w:rsidRPr="00A25D03" w:rsidRDefault="002B46CD" w:rsidP="005D0D35">
      <w:pPr>
        <w:spacing w:before="120"/>
        <w:rPr>
          <w:rFonts w:ascii="Arial" w:hAnsi="Arial"/>
          <w:u w:val="single"/>
        </w:rPr>
      </w:pPr>
      <w:r w:rsidRPr="00A25D03">
        <w:rPr>
          <w:rFonts w:ascii="Arial" w:hAnsi="Arial"/>
          <w:u w:val="single"/>
        </w:rPr>
        <w:t>Apprenticeship Levy</w:t>
      </w:r>
    </w:p>
    <w:p w:rsidR="00B339C6" w:rsidRPr="00D70630" w:rsidRDefault="00A25D03" w:rsidP="005D0D35">
      <w:pPr>
        <w:spacing w:before="120"/>
        <w:rPr>
          <w:rFonts w:ascii="Arial" w:hAnsi="Arial"/>
        </w:rPr>
      </w:pPr>
      <w:r>
        <w:rPr>
          <w:rFonts w:ascii="Arial" w:hAnsi="Arial"/>
        </w:rPr>
        <w:t xml:space="preserve">The Government is introducing an Apprenticeship Levy from 1 April 2017.  The information we currently have on how this will affect Schools was provided via an </w:t>
      </w:r>
      <w:hyperlink r:id="rId16" w:history="1">
        <w:r w:rsidRPr="00A25D03">
          <w:rPr>
            <w:rStyle w:val="Hyperlink"/>
            <w:rFonts w:ascii="Arial" w:hAnsi="Arial"/>
          </w:rPr>
          <w:t>e-bulletin on 10 January</w:t>
        </w:r>
      </w:hyperlink>
      <w:r>
        <w:rPr>
          <w:rFonts w:ascii="Arial" w:hAnsi="Arial"/>
        </w:rPr>
        <w:t xml:space="preserve">.  The LA plans to provide further updates, via the e-bulletin route, as and when information becomes available. </w:t>
      </w:r>
    </w:p>
    <w:p w:rsidR="00B339C6" w:rsidRDefault="00B339C6" w:rsidP="005D0D35">
      <w:pPr>
        <w:spacing w:before="120"/>
        <w:rPr>
          <w:rFonts w:ascii="Arial" w:hAnsi="Arial"/>
          <w:u w:val="single"/>
        </w:rPr>
      </w:pPr>
    </w:p>
    <w:p w:rsidR="00DF47FA" w:rsidRPr="00622403" w:rsidRDefault="00DF47FA" w:rsidP="005D0D35">
      <w:pPr>
        <w:spacing w:before="120"/>
        <w:rPr>
          <w:rFonts w:ascii="Arial" w:hAnsi="Arial"/>
          <w:u w:val="single"/>
        </w:rPr>
      </w:pPr>
      <w:r w:rsidRPr="00622403">
        <w:rPr>
          <w:rFonts w:ascii="Arial" w:hAnsi="Arial"/>
          <w:u w:val="single"/>
        </w:rPr>
        <w:t>Minimum Funding Guarantee</w:t>
      </w:r>
    </w:p>
    <w:p w:rsidR="00472F5C" w:rsidRPr="00622403" w:rsidRDefault="00B51DA9" w:rsidP="005D0D35">
      <w:pPr>
        <w:spacing w:before="120"/>
        <w:rPr>
          <w:rFonts w:ascii="Arial" w:hAnsi="Arial"/>
        </w:rPr>
      </w:pPr>
      <w:r w:rsidRPr="00622403">
        <w:rPr>
          <w:rFonts w:ascii="Arial" w:hAnsi="Arial"/>
        </w:rPr>
        <w:t xml:space="preserve">The Government’s Minimum Funding Guarantee (MFG) </w:t>
      </w:r>
      <w:r w:rsidR="00EC644D" w:rsidRPr="00622403">
        <w:rPr>
          <w:rFonts w:ascii="Arial" w:hAnsi="Arial"/>
        </w:rPr>
        <w:t>for 2017-18</w:t>
      </w:r>
      <w:r w:rsidR="000F7F79" w:rsidRPr="00622403">
        <w:rPr>
          <w:rFonts w:ascii="Arial" w:hAnsi="Arial"/>
        </w:rPr>
        <w:t xml:space="preserve"> </w:t>
      </w:r>
      <w:r w:rsidRPr="00622403">
        <w:rPr>
          <w:rFonts w:ascii="Arial" w:hAnsi="Arial"/>
        </w:rPr>
        <w:t>has been set at</w:t>
      </w:r>
      <w:r w:rsidR="00D70630" w:rsidRPr="00622403">
        <w:rPr>
          <w:rFonts w:ascii="Arial" w:hAnsi="Arial"/>
        </w:rPr>
        <w:t xml:space="preserve"> </w:t>
      </w:r>
      <w:r w:rsidRPr="00622403">
        <w:rPr>
          <w:rFonts w:ascii="Arial" w:hAnsi="Arial"/>
        </w:rPr>
        <w:t xml:space="preserve">-1.5%.  This has been applied to ensure no school has a </w:t>
      </w:r>
      <w:r w:rsidR="000F7F79" w:rsidRPr="00622403">
        <w:rPr>
          <w:rFonts w:ascii="Arial" w:hAnsi="Arial"/>
        </w:rPr>
        <w:t xml:space="preserve">reduction </w:t>
      </w:r>
      <w:r w:rsidRPr="00622403">
        <w:rPr>
          <w:rFonts w:ascii="Arial" w:hAnsi="Arial"/>
        </w:rPr>
        <w:t xml:space="preserve">in its budget of more than 1.5% per pupil (excluding exempt items and high needs funding) before any </w:t>
      </w:r>
      <w:r w:rsidR="00A25D03" w:rsidRPr="00622403">
        <w:rPr>
          <w:rFonts w:ascii="Arial" w:hAnsi="Arial"/>
        </w:rPr>
        <w:t>P</w:t>
      </w:r>
      <w:r w:rsidRPr="00622403">
        <w:rPr>
          <w:rFonts w:ascii="Arial" w:hAnsi="Arial"/>
        </w:rPr>
        <w:t xml:space="preserve">upil </w:t>
      </w:r>
      <w:r w:rsidR="00A25D03" w:rsidRPr="00622403">
        <w:rPr>
          <w:rFonts w:ascii="Arial" w:hAnsi="Arial"/>
        </w:rPr>
        <w:t>P</w:t>
      </w:r>
      <w:r w:rsidRPr="00622403">
        <w:rPr>
          <w:rFonts w:ascii="Arial" w:hAnsi="Arial"/>
        </w:rPr>
        <w:t>remium is allocated</w:t>
      </w:r>
      <w:r w:rsidR="00DF47FA" w:rsidRPr="00622403">
        <w:rPr>
          <w:rFonts w:ascii="Arial" w:hAnsi="Arial"/>
        </w:rPr>
        <w:t>.</w:t>
      </w:r>
      <w:r w:rsidR="000916E6" w:rsidRPr="00622403">
        <w:rPr>
          <w:rFonts w:ascii="Arial" w:hAnsi="Arial"/>
        </w:rPr>
        <w:t xml:space="preserve">  </w:t>
      </w:r>
    </w:p>
    <w:p w:rsidR="005D0D35" w:rsidRPr="00EC644D" w:rsidRDefault="00EC644D" w:rsidP="00BA5583">
      <w:pPr>
        <w:spacing w:before="120"/>
        <w:rPr>
          <w:rFonts w:ascii="Arial" w:hAnsi="Arial"/>
        </w:rPr>
      </w:pPr>
      <w:r w:rsidRPr="00622403">
        <w:rPr>
          <w:rFonts w:ascii="Arial" w:hAnsi="Arial"/>
        </w:rPr>
        <w:t xml:space="preserve">In last </w:t>
      </w:r>
      <w:r w:rsidR="00A25D03" w:rsidRPr="00622403">
        <w:rPr>
          <w:rFonts w:ascii="Arial" w:hAnsi="Arial"/>
        </w:rPr>
        <w:t>year’s</w:t>
      </w:r>
      <w:r w:rsidRPr="00622403">
        <w:rPr>
          <w:rFonts w:ascii="Arial" w:hAnsi="Arial"/>
        </w:rPr>
        <w:t xml:space="preserve"> budget template we provided the flexibility for schools to flex the MFG % for the second and third year based on local knowledge. </w:t>
      </w:r>
      <w:r w:rsidR="00A25D03" w:rsidRPr="00622403">
        <w:rPr>
          <w:rFonts w:ascii="Arial" w:hAnsi="Arial"/>
        </w:rPr>
        <w:t xml:space="preserve"> We </w:t>
      </w:r>
      <w:r w:rsidR="00622403" w:rsidRPr="00622403">
        <w:rPr>
          <w:rFonts w:ascii="Arial" w:hAnsi="Arial"/>
        </w:rPr>
        <w:t>have</w:t>
      </w:r>
      <w:r w:rsidR="00A25D03" w:rsidRPr="00622403">
        <w:rPr>
          <w:rFonts w:ascii="Arial" w:hAnsi="Arial"/>
        </w:rPr>
        <w:t xml:space="preserve"> buil</w:t>
      </w:r>
      <w:r w:rsidR="00622403" w:rsidRPr="00622403">
        <w:rPr>
          <w:rFonts w:ascii="Arial" w:hAnsi="Arial"/>
        </w:rPr>
        <w:t>t</w:t>
      </w:r>
      <w:r w:rsidR="00A25D03" w:rsidRPr="00622403">
        <w:rPr>
          <w:rFonts w:ascii="Arial" w:hAnsi="Arial"/>
        </w:rPr>
        <w:t xml:space="preserve"> </w:t>
      </w:r>
      <w:r w:rsidR="00622403" w:rsidRPr="00622403">
        <w:rPr>
          <w:rFonts w:ascii="Arial" w:hAnsi="Arial"/>
        </w:rPr>
        <w:t xml:space="preserve">the same </w:t>
      </w:r>
      <w:r w:rsidR="00A25D03" w:rsidRPr="00622403">
        <w:rPr>
          <w:rFonts w:ascii="Arial" w:hAnsi="Arial"/>
        </w:rPr>
        <w:t xml:space="preserve">flexibility into this year’s tool for the </w:t>
      </w:r>
      <w:r w:rsidRPr="00622403">
        <w:rPr>
          <w:rFonts w:ascii="Arial" w:hAnsi="Arial"/>
        </w:rPr>
        <w:t>2018-19 and 2019-20</w:t>
      </w:r>
      <w:r w:rsidR="00A25D03" w:rsidRPr="00622403">
        <w:rPr>
          <w:rFonts w:ascii="Arial" w:hAnsi="Arial"/>
        </w:rPr>
        <w:t xml:space="preserve"> financial years</w:t>
      </w:r>
      <w:r w:rsidRPr="00622403">
        <w:rPr>
          <w:rFonts w:ascii="Arial" w:hAnsi="Arial"/>
        </w:rPr>
        <w:t>.</w:t>
      </w:r>
      <w:r w:rsidR="00622403" w:rsidRPr="00622403">
        <w:rPr>
          <w:rFonts w:ascii="Arial" w:hAnsi="Arial"/>
        </w:rPr>
        <w:t xml:space="preserve">   We have also gone further an added additional</w:t>
      </w:r>
      <w:r w:rsidR="00622403">
        <w:rPr>
          <w:rFonts w:ascii="Arial" w:hAnsi="Arial"/>
        </w:rPr>
        <w:t xml:space="preserve"> flexibility in readiness for the implementation of the National Funding Formula.   We do not recommend setting a positive % increase until after the publication of the Government’s response to their current consultation, which we will interpret and issue further guidance to our schools.  We do not anticipate this being before September 2017. </w:t>
      </w:r>
    </w:p>
    <w:p w:rsidR="00622403" w:rsidRDefault="00622403" w:rsidP="00BA5583">
      <w:pPr>
        <w:spacing w:before="120"/>
        <w:rPr>
          <w:rFonts w:ascii="Arial" w:hAnsi="Arial"/>
          <w:u w:val="single"/>
        </w:rPr>
      </w:pPr>
    </w:p>
    <w:p w:rsidR="00A0713C" w:rsidRPr="00237A69" w:rsidRDefault="00622403" w:rsidP="00BA5583">
      <w:pPr>
        <w:spacing w:before="120"/>
        <w:rPr>
          <w:rFonts w:ascii="Arial" w:hAnsi="Arial"/>
        </w:rPr>
      </w:pPr>
      <w:r>
        <w:rPr>
          <w:rFonts w:ascii="Arial" w:hAnsi="Arial"/>
          <w:u w:val="single"/>
        </w:rPr>
        <w:t>K</w:t>
      </w:r>
      <w:r w:rsidR="00A0713C" w:rsidRPr="007F14A7">
        <w:rPr>
          <w:rFonts w:ascii="Arial" w:hAnsi="Arial"/>
          <w:u w:val="single"/>
        </w:rPr>
        <w:t>ent Scheme Pay</w:t>
      </w:r>
    </w:p>
    <w:p w:rsidR="007F14A7" w:rsidRDefault="00B51DA9" w:rsidP="00BA5583">
      <w:pPr>
        <w:spacing w:before="120"/>
        <w:rPr>
          <w:rFonts w:ascii="Arial" w:hAnsi="Arial"/>
        </w:rPr>
      </w:pPr>
      <w:r w:rsidRPr="00010A54">
        <w:rPr>
          <w:rFonts w:ascii="Arial" w:hAnsi="Arial"/>
        </w:rPr>
        <w:t xml:space="preserve">For </w:t>
      </w:r>
      <w:r w:rsidR="00650297" w:rsidRPr="00010A54">
        <w:rPr>
          <w:rFonts w:ascii="Arial" w:hAnsi="Arial"/>
        </w:rPr>
        <w:t>201</w:t>
      </w:r>
      <w:r w:rsidR="00A25D03" w:rsidRPr="00010A54">
        <w:rPr>
          <w:rFonts w:ascii="Arial" w:hAnsi="Arial"/>
        </w:rPr>
        <w:t>7</w:t>
      </w:r>
      <w:r w:rsidRPr="00010A54">
        <w:rPr>
          <w:rFonts w:ascii="Arial" w:hAnsi="Arial"/>
        </w:rPr>
        <w:t>-</w:t>
      </w:r>
      <w:r w:rsidR="00650297" w:rsidRPr="00010A54">
        <w:rPr>
          <w:rFonts w:ascii="Arial" w:hAnsi="Arial"/>
        </w:rPr>
        <w:t>1</w:t>
      </w:r>
      <w:r w:rsidR="00A25D03" w:rsidRPr="00010A54">
        <w:rPr>
          <w:rFonts w:ascii="Arial" w:hAnsi="Arial"/>
        </w:rPr>
        <w:t>8</w:t>
      </w:r>
      <w:r w:rsidR="002D0B59" w:rsidRPr="00010A54">
        <w:rPr>
          <w:rFonts w:ascii="Arial" w:hAnsi="Arial"/>
        </w:rPr>
        <w:t xml:space="preserve"> </w:t>
      </w:r>
      <w:r w:rsidRPr="00010A54">
        <w:rPr>
          <w:rFonts w:ascii="Arial" w:hAnsi="Arial"/>
        </w:rPr>
        <w:t>the County Council has agreed a single pay and reward package for Kent Scheme staff</w:t>
      </w:r>
      <w:r w:rsidR="002D0B59" w:rsidRPr="00010A54">
        <w:rPr>
          <w:rFonts w:ascii="Arial" w:hAnsi="Arial"/>
        </w:rPr>
        <w:t>, and thi</w:t>
      </w:r>
      <w:r w:rsidR="00650297" w:rsidRPr="00010A54">
        <w:rPr>
          <w:rFonts w:ascii="Arial" w:hAnsi="Arial"/>
        </w:rPr>
        <w:t xml:space="preserve">s arrangement is similar to </w:t>
      </w:r>
      <w:r w:rsidR="00A25D03" w:rsidRPr="00010A54">
        <w:rPr>
          <w:rFonts w:ascii="Arial" w:hAnsi="Arial"/>
        </w:rPr>
        <w:t>previous years</w:t>
      </w:r>
      <w:r w:rsidRPr="00010A54">
        <w:rPr>
          <w:rFonts w:ascii="Arial" w:hAnsi="Arial"/>
        </w:rPr>
        <w:t xml:space="preserve">.  The new Kent Scheme salary scales will </w:t>
      </w:r>
      <w:r w:rsidR="00A25D03" w:rsidRPr="00010A54">
        <w:rPr>
          <w:rFonts w:ascii="Arial" w:hAnsi="Arial"/>
        </w:rPr>
        <w:t>be available shortly</w:t>
      </w:r>
      <w:r w:rsidRPr="00010A54">
        <w:rPr>
          <w:rFonts w:ascii="Arial" w:hAnsi="Arial"/>
        </w:rPr>
        <w:t>.</w:t>
      </w:r>
      <w:r w:rsidR="00A25D03" w:rsidRPr="00010A54">
        <w:rPr>
          <w:rFonts w:ascii="Arial" w:hAnsi="Arial"/>
        </w:rPr>
        <w:t xml:space="preserve">  The Council has recently confirmed that its TCP rating percentage increases</w:t>
      </w:r>
      <w:r w:rsidR="00A25D03">
        <w:rPr>
          <w:rFonts w:ascii="Arial" w:hAnsi="Arial"/>
        </w:rPr>
        <w:t xml:space="preserve"> as follows:</w:t>
      </w:r>
    </w:p>
    <w:p w:rsidR="00D70630" w:rsidRPr="00D70630" w:rsidRDefault="00D70630" w:rsidP="00D70630">
      <w:pPr>
        <w:pStyle w:val="ListParagraph"/>
        <w:numPr>
          <w:ilvl w:val="0"/>
          <w:numId w:val="35"/>
        </w:numPr>
        <w:spacing w:before="120"/>
        <w:rPr>
          <w:rFonts w:ascii="Arial" w:hAnsi="Arial"/>
        </w:rPr>
      </w:pPr>
      <w:r w:rsidRPr="00D70630">
        <w:rPr>
          <w:rFonts w:ascii="Arial" w:hAnsi="Arial"/>
        </w:rPr>
        <w:t>Outstanding 5.0%</w:t>
      </w:r>
    </w:p>
    <w:p w:rsidR="00D70630" w:rsidRPr="00D70630" w:rsidRDefault="00D70630" w:rsidP="00D70630">
      <w:pPr>
        <w:pStyle w:val="ListParagraph"/>
        <w:numPr>
          <w:ilvl w:val="0"/>
          <w:numId w:val="35"/>
        </w:numPr>
        <w:spacing w:before="120"/>
        <w:rPr>
          <w:rFonts w:ascii="Arial" w:hAnsi="Arial"/>
        </w:rPr>
      </w:pPr>
      <w:r w:rsidRPr="00D70630">
        <w:rPr>
          <w:rFonts w:ascii="Arial" w:hAnsi="Arial"/>
        </w:rPr>
        <w:t>Above the Required Standard 3.0%</w:t>
      </w:r>
    </w:p>
    <w:p w:rsidR="00D70630" w:rsidRPr="00D70630" w:rsidRDefault="00D70630" w:rsidP="00D70630">
      <w:pPr>
        <w:pStyle w:val="ListParagraph"/>
        <w:numPr>
          <w:ilvl w:val="0"/>
          <w:numId w:val="35"/>
        </w:numPr>
        <w:spacing w:before="120"/>
        <w:rPr>
          <w:rFonts w:ascii="Arial" w:hAnsi="Arial"/>
        </w:rPr>
      </w:pPr>
      <w:r w:rsidRPr="00D70630">
        <w:rPr>
          <w:rFonts w:ascii="Arial" w:hAnsi="Arial"/>
        </w:rPr>
        <w:t>Achieved the Required Standard 1.8%</w:t>
      </w:r>
    </w:p>
    <w:p w:rsidR="00D70630" w:rsidRPr="00D70630" w:rsidRDefault="00D70630" w:rsidP="00D70630">
      <w:pPr>
        <w:pStyle w:val="ListParagraph"/>
        <w:numPr>
          <w:ilvl w:val="0"/>
          <w:numId w:val="35"/>
        </w:numPr>
        <w:spacing w:before="120"/>
        <w:rPr>
          <w:rFonts w:ascii="Arial" w:hAnsi="Arial"/>
        </w:rPr>
      </w:pPr>
      <w:r w:rsidRPr="00D70630">
        <w:rPr>
          <w:rFonts w:ascii="Arial" w:hAnsi="Arial"/>
        </w:rPr>
        <w:t>Performance Improvement Required 0%</w:t>
      </w:r>
    </w:p>
    <w:p w:rsidR="00D70630" w:rsidRPr="00D70630" w:rsidRDefault="00010A54" w:rsidP="00D70630">
      <w:pPr>
        <w:spacing w:before="120"/>
        <w:rPr>
          <w:rFonts w:ascii="Arial" w:hAnsi="Arial"/>
        </w:rPr>
      </w:pPr>
      <w:r>
        <w:rPr>
          <w:rFonts w:ascii="Arial" w:hAnsi="Arial"/>
        </w:rPr>
        <w:t xml:space="preserve">Individual ratings will be </w:t>
      </w:r>
      <w:r w:rsidR="00D70630" w:rsidRPr="00D70630">
        <w:rPr>
          <w:rFonts w:ascii="Arial" w:hAnsi="Arial"/>
        </w:rPr>
        <w:t xml:space="preserve">confirmed in April. </w:t>
      </w:r>
      <w:r>
        <w:rPr>
          <w:rFonts w:ascii="Arial" w:hAnsi="Arial"/>
        </w:rPr>
        <w:t xml:space="preserve">Anyone </w:t>
      </w:r>
      <w:r w:rsidR="00D70630" w:rsidRPr="00D70630">
        <w:rPr>
          <w:rFonts w:ascii="Arial" w:hAnsi="Arial"/>
        </w:rPr>
        <w:t xml:space="preserve">rated as ‘achieving’ or </w:t>
      </w:r>
      <w:proofErr w:type="gramStart"/>
      <w:r w:rsidR="00D70630" w:rsidRPr="00D70630">
        <w:rPr>
          <w:rFonts w:ascii="Arial" w:hAnsi="Arial"/>
        </w:rPr>
        <w:t>more,</w:t>
      </w:r>
      <w:proofErr w:type="gramEnd"/>
      <w:r w:rsidR="00D70630" w:rsidRPr="00D70630">
        <w:rPr>
          <w:rFonts w:ascii="Arial" w:hAnsi="Arial"/>
        </w:rPr>
        <w:t xml:space="preserve"> will receive a pay award of at least £400 (pro rata for part time).</w:t>
      </w:r>
    </w:p>
    <w:p w:rsidR="00D23211" w:rsidRDefault="00D23211" w:rsidP="00804363">
      <w:pPr>
        <w:ind w:left="360"/>
        <w:rPr>
          <w:rFonts w:ascii="Arial" w:hAnsi="Arial"/>
        </w:rPr>
      </w:pPr>
    </w:p>
    <w:p w:rsidR="00804363" w:rsidRDefault="00804363" w:rsidP="00804363">
      <w:pPr>
        <w:rPr>
          <w:rFonts w:ascii="Arial" w:hAnsi="Arial" w:cs="Arial"/>
        </w:rPr>
      </w:pPr>
      <w:bookmarkStart w:id="3" w:name="SectionC"/>
    </w:p>
    <w:p w:rsidR="00804363" w:rsidRDefault="00804363" w:rsidP="00804363">
      <w:pPr>
        <w:rPr>
          <w:rFonts w:ascii="Arial" w:hAnsi="Arial" w:cs="Arial"/>
        </w:rPr>
      </w:pPr>
    </w:p>
    <w:p w:rsidR="00804363" w:rsidRDefault="00804363" w:rsidP="00804363">
      <w:pPr>
        <w:rPr>
          <w:rFonts w:ascii="Arial" w:hAnsi="Arial" w:cs="Arial"/>
        </w:rPr>
      </w:pPr>
      <w:r>
        <w:rPr>
          <w:rFonts w:ascii="Arial" w:hAnsi="Arial" w:cs="Arial"/>
        </w:rPr>
        <w:lastRenderedPageBreak/>
        <w:t>From 1st April 2017 a 1% increase will be applied to the minimum and maximum of the salary values within each of the Kent Range Grades.  Schools should ensure any new appointments are made within these revised grade boundaries.  A higher increase of £579 will be applied to the minimum of Kent Range 2.  This will take the hourly rate of the lowest graded staff to £7.70 per hour, which is in excess of the new national living wage of £7.50 per hour payable from 1st April 2017.</w:t>
      </w:r>
    </w:p>
    <w:p w:rsidR="00D70630" w:rsidRDefault="00D70630" w:rsidP="005D0D35">
      <w:pPr>
        <w:spacing w:before="120"/>
        <w:ind w:left="360"/>
        <w:rPr>
          <w:rFonts w:ascii="Arial" w:hAnsi="Arial"/>
        </w:rPr>
      </w:pPr>
    </w:p>
    <w:p w:rsidR="00D70630" w:rsidRDefault="00D70630">
      <w:pPr>
        <w:rPr>
          <w:rFonts w:ascii="Arial" w:hAnsi="Arial"/>
        </w:rPr>
      </w:pPr>
      <w:r>
        <w:rPr>
          <w:rFonts w:ascii="Arial" w:hAnsi="Arial"/>
        </w:rPr>
        <w:br w:type="page"/>
      </w:r>
    </w:p>
    <w:p w:rsidR="005D0D35" w:rsidRDefault="005D0D35" w:rsidP="005D0D35">
      <w:pPr>
        <w:spacing w:before="120"/>
        <w:ind w:left="360"/>
        <w:rPr>
          <w:rFonts w:ascii="Arial" w:hAnsi="Arial" w:cs="Arial"/>
        </w:rPr>
      </w:pPr>
    </w:p>
    <w:p w:rsidR="00A37B69" w:rsidRPr="005D0D35" w:rsidRDefault="00757CC5" w:rsidP="005D0D35">
      <w:pPr>
        <w:spacing w:before="120"/>
        <w:jc w:val="center"/>
        <w:rPr>
          <w:rFonts w:ascii="Arial" w:hAnsi="Arial" w:cs="Arial"/>
        </w:rPr>
      </w:pPr>
      <w:r w:rsidRPr="00B51DA9">
        <w:rPr>
          <w:rFonts w:ascii="Arial" w:hAnsi="Arial" w:cs="Arial"/>
          <w:b/>
        </w:rPr>
        <w:t xml:space="preserve">SECTION C – GENERAL INFORMATION </w:t>
      </w:r>
      <w:r w:rsidRPr="001903FE">
        <w:rPr>
          <w:rFonts w:ascii="Arial" w:hAnsi="Arial" w:cs="Arial"/>
          <w:b/>
        </w:rPr>
        <w:t>(APPLIES TO ALL SCHOOLS</w:t>
      </w:r>
      <w:bookmarkEnd w:id="3"/>
      <w:r w:rsidR="001903FE" w:rsidRPr="001903FE">
        <w:rPr>
          <w:rFonts w:ascii="Arial" w:hAnsi="Arial" w:cs="Arial"/>
          <w:b/>
        </w:rPr>
        <w:t>)</w:t>
      </w:r>
    </w:p>
    <w:p w:rsidR="00757CC5" w:rsidRDefault="00757CC5" w:rsidP="00A37B69">
      <w:pPr>
        <w:spacing w:before="120"/>
        <w:jc w:val="center"/>
        <w:rPr>
          <w:rFonts w:ascii="Arial" w:hAnsi="Arial"/>
          <w:b/>
        </w:rPr>
      </w:pPr>
    </w:p>
    <w:p w:rsidR="00757CC5" w:rsidRDefault="00757CC5" w:rsidP="00757CC5">
      <w:pPr>
        <w:rPr>
          <w:rFonts w:ascii="Arial" w:hAnsi="Arial"/>
          <w:b/>
          <w:u w:val="single"/>
        </w:rPr>
      </w:pPr>
      <w:bookmarkStart w:id="4" w:name="Insurance"/>
      <w:bookmarkStart w:id="5" w:name="SectionCIns"/>
      <w:r w:rsidRPr="00E66E19">
        <w:rPr>
          <w:rFonts w:ascii="Arial" w:hAnsi="Arial"/>
          <w:b/>
          <w:u w:val="single"/>
        </w:rPr>
        <w:t>Insurance</w:t>
      </w:r>
      <w:r w:rsidR="005C3BEB" w:rsidRPr="00E66E19">
        <w:rPr>
          <w:rFonts w:ascii="Arial" w:hAnsi="Arial"/>
          <w:b/>
          <w:u w:val="single"/>
        </w:rPr>
        <w:t xml:space="preserve"> </w:t>
      </w:r>
      <w:bookmarkEnd w:id="4"/>
      <w:bookmarkEnd w:id="5"/>
    </w:p>
    <w:p w:rsidR="00101042" w:rsidRDefault="00101042" w:rsidP="00974237">
      <w:pPr>
        <w:spacing w:before="120"/>
        <w:rPr>
          <w:rFonts w:ascii="Arial" w:hAnsi="Arial" w:cs="Arial"/>
        </w:rPr>
      </w:pPr>
      <w:r>
        <w:rPr>
          <w:rFonts w:ascii="Arial" w:hAnsi="Arial" w:cs="Arial"/>
        </w:rPr>
        <w:t xml:space="preserve">If you currently purchase your school insurance through KCC, you will need to manually enter these costs into your budget plans.  You will shortly be receiving direct debit notification from the LA which will break down the total insurance costs between E11 staff related insurance and E23 other insurance premiums.  Any queries regarding KCC insurance should be directed to either Nathan Page on 03000 416539 (email </w:t>
      </w:r>
      <w:hyperlink r:id="rId17" w:history="1">
        <w:r w:rsidR="00D70630" w:rsidRPr="00630280">
          <w:rPr>
            <w:rStyle w:val="Hyperlink"/>
            <w:rFonts w:ascii="Arial" w:hAnsi="Arial" w:cs="Arial"/>
          </w:rPr>
          <w:t>nathan.page@kent.gov.uk</w:t>
        </w:r>
      </w:hyperlink>
      <w:r>
        <w:rPr>
          <w:rFonts w:ascii="Arial" w:hAnsi="Arial" w:cs="Arial"/>
        </w:rPr>
        <w:t xml:space="preserve">) or Shane Jermy on 03000 416311 (email </w:t>
      </w:r>
      <w:hyperlink r:id="rId18" w:tooltip="mailto:shane.jermy@kent.gov.uk" w:history="1">
        <w:r>
          <w:rPr>
            <w:rStyle w:val="Hyperlink"/>
            <w:rFonts w:ascii="Arial" w:hAnsi="Arial" w:cs="Arial"/>
          </w:rPr>
          <w:t>shane.jermy@kent.gov.uk</w:t>
        </w:r>
      </w:hyperlink>
      <w:r>
        <w:rPr>
          <w:rFonts w:ascii="Arial" w:hAnsi="Arial" w:cs="Arial"/>
        </w:rPr>
        <w:t>).</w:t>
      </w:r>
    </w:p>
    <w:p w:rsidR="00757CC5" w:rsidRDefault="00757CC5" w:rsidP="00757CC5">
      <w:pPr>
        <w:rPr>
          <w:rFonts w:ascii="Arial" w:hAnsi="Arial"/>
        </w:rPr>
      </w:pPr>
    </w:p>
    <w:p w:rsidR="00101042" w:rsidRDefault="00101042" w:rsidP="00757CC5">
      <w:pPr>
        <w:rPr>
          <w:rFonts w:ascii="Arial" w:hAnsi="Arial"/>
        </w:rPr>
      </w:pPr>
    </w:p>
    <w:p w:rsidR="00101042" w:rsidRDefault="00101042" w:rsidP="00757CC5">
      <w:pPr>
        <w:rPr>
          <w:rFonts w:ascii="Arial" w:hAnsi="Arial"/>
        </w:rPr>
      </w:pPr>
    </w:p>
    <w:p w:rsidR="00757CC5" w:rsidRPr="007C287D" w:rsidRDefault="00757CC5" w:rsidP="00757CC5">
      <w:pPr>
        <w:rPr>
          <w:rFonts w:ascii="Arial" w:hAnsi="Arial"/>
          <w:b/>
          <w:u w:val="single"/>
        </w:rPr>
      </w:pPr>
      <w:bookmarkStart w:id="6" w:name="SectionCDFC"/>
      <w:r w:rsidRPr="007C287D">
        <w:rPr>
          <w:rFonts w:ascii="Arial" w:hAnsi="Arial"/>
          <w:b/>
          <w:u w:val="single"/>
        </w:rPr>
        <w:t xml:space="preserve">Devolved </w:t>
      </w:r>
      <w:r>
        <w:rPr>
          <w:rFonts w:ascii="Arial" w:hAnsi="Arial"/>
          <w:b/>
          <w:u w:val="single"/>
        </w:rPr>
        <w:t xml:space="preserve">Formula </w:t>
      </w:r>
      <w:r w:rsidRPr="007C287D">
        <w:rPr>
          <w:rFonts w:ascii="Arial" w:hAnsi="Arial"/>
          <w:b/>
          <w:u w:val="single"/>
        </w:rPr>
        <w:t>Capital</w:t>
      </w:r>
      <w:r>
        <w:rPr>
          <w:rFonts w:ascii="Arial" w:hAnsi="Arial"/>
          <w:b/>
          <w:u w:val="single"/>
        </w:rPr>
        <w:t xml:space="preserve"> (DFC)</w:t>
      </w:r>
    </w:p>
    <w:p w:rsidR="00E707FF" w:rsidRPr="00E707FF" w:rsidRDefault="00010A54" w:rsidP="00974237">
      <w:pPr>
        <w:spacing w:before="120"/>
        <w:rPr>
          <w:rFonts w:ascii="Arial" w:hAnsi="Arial"/>
        </w:rPr>
      </w:pPr>
      <w:bookmarkStart w:id="7" w:name="SectionCPP"/>
      <w:bookmarkEnd w:id="6"/>
      <w:r w:rsidRPr="00010A54">
        <w:rPr>
          <w:rFonts w:ascii="Arial" w:hAnsi="Arial"/>
        </w:rPr>
        <w:t xml:space="preserve">We have </w:t>
      </w:r>
      <w:r w:rsidR="00E707FF" w:rsidRPr="00010A54">
        <w:rPr>
          <w:rFonts w:ascii="Arial" w:hAnsi="Arial"/>
        </w:rPr>
        <w:t>published indicative</w:t>
      </w:r>
      <w:r w:rsidRPr="00010A54">
        <w:rPr>
          <w:rFonts w:ascii="Arial" w:hAnsi="Arial"/>
        </w:rPr>
        <w:t xml:space="preserve"> DFC budgets for 2017-18 that </w:t>
      </w:r>
      <w:r w:rsidR="00D70630" w:rsidRPr="00010A54">
        <w:rPr>
          <w:rFonts w:ascii="Arial" w:hAnsi="Arial"/>
        </w:rPr>
        <w:t xml:space="preserve">are </w:t>
      </w:r>
      <w:r w:rsidR="00E707FF" w:rsidRPr="00010A54">
        <w:rPr>
          <w:rFonts w:ascii="Arial" w:hAnsi="Arial"/>
        </w:rPr>
        <w:t xml:space="preserve">based on </w:t>
      </w:r>
      <w:r w:rsidR="00D70630" w:rsidRPr="00010A54">
        <w:rPr>
          <w:rFonts w:ascii="Arial" w:hAnsi="Arial"/>
        </w:rPr>
        <w:t xml:space="preserve">the </w:t>
      </w:r>
      <w:r w:rsidRPr="00010A54">
        <w:rPr>
          <w:rFonts w:ascii="Arial" w:hAnsi="Arial"/>
        </w:rPr>
        <w:t xml:space="preserve">January 2016 census and the current years funding rates.  </w:t>
      </w:r>
      <w:r w:rsidR="00BE1A26">
        <w:rPr>
          <w:rFonts w:ascii="Arial" w:hAnsi="Arial"/>
        </w:rPr>
        <w:t xml:space="preserve">Final allocations will be confirmed in March although we are not expecting any material changes.  You can </w:t>
      </w:r>
      <w:r w:rsidR="00E707FF" w:rsidRPr="00010A54">
        <w:rPr>
          <w:rFonts w:ascii="Arial" w:hAnsi="Arial"/>
        </w:rPr>
        <w:t xml:space="preserve">access your indicative budget for 2017-18 </w:t>
      </w:r>
      <w:r w:rsidR="00BE1A26">
        <w:rPr>
          <w:rFonts w:ascii="Arial" w:hAnsi="Arial"/>
        </w:rPr>
        <w:t>here;</w:t>
      </w:r>
      <w:r w:rsidR="00E707FF" w:rsidRPr="00010A54">
        <w:rPr>
          <w:rFonts w:ascii="Arial" w:hAnsi="Arial"/>
        </w:rPr>
        <w:t xml:space="preserve"> </w:t>
      </w:r>
      <w:hyperlink r:id="rId19" w:history="1">
        <w:r w:rsidR="00E707FF" w:rsidRPr="00A207DA">
          <w:rPr>
            <w:rStyle w:val="Hyperlink"/>
            <w:rFonts w:ascii="Arial" w:hAnsi="Arial" w:cs="Arial"/>
          </w:rPr>
          <w:t>Devolved Formula Capital</w:t>
        </w:r>
      </w:hyperlink>
      <w:r w:rsidR="00E707FF" w:rsidRPr="002F2752">
        <w:rPr>
          <w:rFonts w:ascii="Arial" w:hAnsi="Arial"/>
        </w:rPr>
        <w:t>.</w:t>
      </w:r>
      <w:r w:rsidR="00E707FF" w:rsidRPr="00BE1A26">
        <w:rPr>
          <w:rFonts w:ascii="Arial" w:hAnsi="Arial"/>
        </w:rPr>
        <w:t xml:space="preserve"> </w:t>
      </w:r>
      <w:r w:rsidR="00BE1A26">
        <w:rPr>
          <w:rFonts w:ascii="Arial" w:hAnsi="Arial"/>
        </w:rPr>
        <w:t xml:space="preserve"> </w:t>
      </w:r>
      <w:r w:rsidR="00E707FF" w:rsidRPr="00010A54">
        <w:rPr>
          <w:rFonts w:ascii="Arial" w:hAnsi="Arial"/>
        </w:rPr>
        <w:t xml:space="preserve">If you have any further questions in relation to DFC, please contact Ruth Giles </w:t>
      </w:r>
      <w:r w:rsidR="00BE1A26">
        <w:rPr>
          <w:rFonts w:ascii="Arial" w:hAnsi="Arial"/>
        </w:rPr>
        <w:t>via e</w:t>
      </w:r>
      <w:r w:rsidR="00E707FF" w:rsidRPr="00010A54">
        <w:rPr>
          <w:rFonts w:ascii="Arial" w:hAnsi="Arial"/>
        </w:rPr>
        <w:t>mail</w:t>
      </w:r>
      <w:r w:rsidR="00BE1A26">
        <w:rPr>
          <w:rFonts w:ascii="Arial" w:hAnsi="Arial"/>
        </w:rPr>
        <w:t xml:space="preserve"> at</w:t>
      </w:r>
      <w:r w:rsidR="00E707FF" w:rsidRPr="00010A54">
        <w:rPr>
          <w:rFonts w:ascii="Arial" w:hAnsi="Arial"/>
        </w:rPr>
        <w:t xml:space="preserve"> </w:t>
      </w:r>
      <w:hyperlink r:id="rId20" w:history="1">
        <w:r w:rsidR="00BE1A26" w:rsidRPr="00E127EF">
          <w:rPr>
            <w:rStyle w:val="Hyperlink"/>
            <w:rFonts w:ascii="Arial" w:hAnsi="Arial"/>
          </w:rPr>
          <w:t>ruth.giles@kent.gov.uk</w:t>
        </w:r>
      </w:hyperlink>
      <w:r w:rsidR="00E707FF" w:rsidRPr="00010A54">
        <w:rPr>
          <w:rFonts w:ascii="Arial" w:hAnsi="Arial"/>
        </w:rPr>
        <w:t xml:space="preserve"> </w:t>
      </w:r>
      <w:r w:rsidR="00BE1A26">
        <w:rPr>
          <w:rFonts w:ascii="Arial" w:hAnsi="Arial"/>
        </w:rPr>
        <w:t xml:space="preserve">or by </w:t>
      </w:r>
      <w:r w:rsidR="00E707FF" w:rsidRPr="00010A54">
        <w:rPr>
          <w:rFonts w:ascii="Arial" w:hAnsi="Arial"/>
        </w:rPr>
        <w:t>telephone 03000 416930.</w:t>
      </w:r>
    </w:p>
    <w:p w:rsidR="00E707FF" w:rsidRDefault="00E707FF" w:rsidP="00E707FF">
      <w:pPr>
        <w:rPr>
          <w:rFonts w:ascii="Comic Sans MS" w:hAnsi="Comic Sans MS"/>
        </w:rPr>
      </w:pPr>
    </w:p>
    <w:p w:rsidR="00757CC5" w:rsidRDefault="00757CC5" w:rsidP="00757CC5">
      <w:pPr>
        <w:rPr>
          <w:rFonts w:ascii="Arial" w:hAnsi="Arial" w:cs="Arial"/>
          <w:b/>
          <w:u w:val="single"/>
        </w:rPr>
      </w:pPr>
      <w:r w:rsidRPr="004D03A3">
        <w:rPr>
          <w:rFonts w:ascii="Arial" w:hAnsi="Arial" w:cs="Arial"/>
          <w:b/>
          <w:u w:val="single"/>
        </w:rPr>
        <w:t>Pupil Premium</w:t>
      </w:r>
      <w:r>
        <w:rPr>
          <w:rFonts w:ascii="Arial" w:hAnsi="Arial" w:cs="Arial"/>
          <w:b/>
          <w:u w:val="single"/>
        </w:rPr>
        <w:t xml:space="preserve"> (PP)</w:t>
      </w:r>
    </w:p>
    <w:p w:rsidR="00E01965" w:rsidRDefault="00E01965" w:rsidP="00757CC5">
      <w:pPr>
        <w:rPr>
          <w:rFonts w:ascii="Arial" w:hAnsi="Arial" w:cs="Arial"/>
          <w:b/>
          <w:u w:val="single"/>
        </w:rPr>
      </w:pPr>
    </w:p>
    <w:p w:rsidR="00E01965" w:rsidRPr="005B17FD" w:rsidRDefault="00E01965" w:rsidP="00757CC5">
      <w:pPr>
        <w:rPr>
          <w:rFonts w:ascii="Arial" w:hAnsi="Arial" w:cs="Arial"/>
          <w:b/>
        </w:rPr>
      </w:pPr>
      <w:r w:rsidRPr="005B17FD">
        <w:rPr>
          <w:rFonts w:ascii="Arial" w:hAnsi="Arial" w:cs="Arial"/>
          <w:b/>
        </w:rPr>
        <w:t>General</w:t>
      </w:r>
    </w:p>
    <w:bookmarkEnd w:id="7"/>
    <w:p w:rsidR="002D0B59" w:rsidRPr="00AE69FF" w:rsidRDefault="002D0B59" w:rsidP="00757CC5">
      <w:pPr>
        <w:spacing w:before="120"/>
        <w:rPr>
          <w:rFonts w:ascii="Arial" w:hAnsi="Arial"/>
        </w:rPr>
      </w:pPr>
      <w:r w:rsidRPr="00AE69FF">
        <w:rPr>
          <w:rFonts w:ascii="Arial" w:hAnsi="Arial"/>
        </w:rPr>
        <w:t>Schools can receive the following types of pupil premium payments:</w:t>
      </w:r>
    </w:p>
    <w:p w:rsidR="002D0B59" w:rsidRPr="00AE69FF" w:rsidRDefault="002D0B59" w:rsidP="00AE69FF">
      <w:pPr>
        <w:pStyle w:val="ListParagraph"/>
        <w:numPr>
          <w:ilvl w:val="0"/>
          <w:numId w:val="24"/>
        </w:numPr>
        <w:spacing w:before="120"/>
        <w:rPr>
          <w:rFonts w:ascii="Arial" w:hAnsi="Arial"/>
        </w:rPr>
      </w:pPr>
      <w:r w:rsidRPr="00AE69FF">
        <w:rPr>
          <w:rFonts w:ascii="Arial" w:hAnsi="Arial"/>
        </w:rPr>
        <w:t xml:space="preserve">E6FSM </w:t>
      </w:r>
      <w:r w:rsidR="00974237">
        <w:rPr>
          <w:rFonts w:ascii="Arial" w:hAnsi="Arial"/>
        </w:rPr>
        <w:t>=</w:t>
      </w:r>
      <w:r w:rsidR="00C037BF" w:rsidRPr="00AE69FF">
        <w:rPr>
          <w:rFonts w:ascii="Arial" w:hAnsi="Arial"/>
        </w:rPr>
        <w:t xml:space="preserve"> </w:t>
      </w:r>
      <w:r w:rsidRPr="00AE69FF">
        <w:rPr>
          <w:rFonts w:ascii="Arial" w:hAnsi="Arial"/>
        </w:rPr>
        <w:t>Ever Six Free School Meals</w:t>
      </w:r>
    </w:p>
    <w:p w:rsidR="002D0B59" w:rsidRPr="00AE69FF" w:rsidRDefault="00262705" w:rsidP="00AE69FF">
      <w:pPr>
        <w:pStyle w:val="ListParagraph"/>
        <w:numPr>
          <w:ilvl w:val="0"/>
          <w:numId w:val="24"/>
        </w:numPr>
        <w:spacing w:before="120"/>
        <w:rPr>
          <w:rFonts w:ascii="Arial" w:hAnsi="Arial"/>
        </w:rPr>
      </w:pPr>
      <w:r>
        <w:rPr>
          <w:rFonts w:ascii="Arial" w:hAnsi="Arial"/>
        </w:rPr>
        <w:t>E6</w:t>
      </w:r>
      <w:r w:rsidR="002D0B59" w:rsidRPr="00AE69FF">
        <w:rPr>
          <w:rFonts w:ascii="Arial" w:hAnsi="Arial"/>
        </w:rPr>
        <w:t xml:space="preserve">SC </w:t>
      </w:r>
      <w:r w:rsidR="00974237">
        <w:rPr>
          <w:rFonts w:ascii="Arial" w:hAnsi="Arial"/>
        </w:rPr>
        <w:t>=</w:t>
      </w:r>
      <w:r w:rsidR="00C037BF" w:rsidRPr="00AE69FF">
        <w:rPr>
          <w:rFonts w:ascii="Arial" w:hAnsi="Arial"/>
        </w:rPr>
        <w:t xml:space="preserve"> </w:t>
      </w:r>
      <w:r w:rsidR="002D0B59" w:rsidRPr="00AE69FF">
        <w:rPr>
          <w:rFonts w:ascii="Arial" w:hAnsi="Arial"/>
        </w:rPr>
        <w:t xml:space="preserve">Ever </w:t>
      </w:r>
      <w:r>
        <w:rPr>
          <w:rFonts w:ascii="Arial" w:hAnsi="Arial"/>
        </w:rPr>
        <w:t>Six</w:t>
      </w:r>
      <w:r w:rsidR="002D0B59" w:rsidRPr="00AE69FF">
        <w:rPr>
          <w:rFonts w:ascii="Arial" w:hAnsi="Arial"/>
        </w:rPr>
        <w:t xml:space="preserve"> Service Children</w:t>
      </w:r>
    </w:p>
    <w:p w:rsidR="00C037BF" w:rsidRPr="00AE69FF" w:rsidRDefault="00C037BF" w:rsidP="00AE69FF">
      <w:pPr>
        <w:pStyle w:val="ListParagraph"/>
        <w:numPr>
          <w:ilvl w:val="0"/>
          <w:numId w:val="24"/>
        </w:numPr>
        <w:spacing w:before="120"/>
        <w:rPr>
          <w:rFonts w:ascii="Arial" w:hAnsi="Arial"/>
        </w:rPr>
      </w:pPr>
      <w:r w:rsidRPr="00AE69FF">
        <w:rPr>
          <w:rFonts w:ascii="Arial" w:hAnsi="Arial"/>
        </w:rPr>
        <w:t xml:space="preserve">CiC </w:t>
      </w:r>
      <w:r w:rsidR="00974237">
        <w:rPr>
          <w:rFonts w:ascii="Arial" w:hAnsi="Arial"/>
        </w:rPr>
        <w:t>=</w:t>
      </w:r>
      <w:r w:rsidRPr="00AE69FF">
        <w:rPr>
          <w:rFonts w:ascii="Arial" w:hAnsi="Arial"/>
        </w:rPr>
        <w:t xml:space="preserve"> Children in Care</w:t>
      </w:r>
      <w:r w:rsidR="00506240">
        <w:rPr>
          <w:rFonts w:ascii="Arial" w:hAnsi="Arial"/>
        </w:rPr>
        <w:t xml:space="preserve"> (also known as </w:t>
      </w:r>
      <w:r w:rsidR="00D00D86">
        <w:rPr>
          <w:rFonts w:ascii="Arial" w:hAnsi="Arial"/>
        </w:rPr>
        <w:t>post LAC</w:t>
      </w:r>
      <w:r w:rsidR="00B8277C">
        <w:rPr>
          <w:rFonts w:ascii="Arial" w:hAnsi="Arial"/>
        </w:rPr>
        <w:t xml:space="preserve"> and Pupil Premium Plus</w:t>
      </w:r>
      <w:r w:rsidR="004456BE">
        <w:rPr>
          <w:rFonts w:ascii="Arial" w:hAnsi="Arial"/>
        </w:rPr>
        <w:t xml:space="preserve"> (PP+)</w:t>
      </w:r>
      <w:r w:rsidR="00D00D86">
        <w:rPr>
          <w:rFonts w:ascii="Arial" w:hAnsi="Arial"/>
        </w:rPr>
        <w:t>)</w:t>
      </w:r>
    </w:p>
    <w:p w:rsidR="00C037BF" w:rsidRPr="00AE69FF" w:rsidRDefault="00C037BF" w:rsidP="00AE69FF">
      <w:pPr>
        <w:pStyle w:val="ListParagraph"/>
        <w:numPr>
          <w:ilvl w:val="0"/>
          <w:numId w:val="24"/>
        </w:numPr>
        <w:spacing w:before="120"/>
        <w:rPr>
          <w:rFonts w:ascii="Arial" w:hAnsi="Arial"/>
        </w:rPr>
      </w:pPr>
      <w:r w:rsidRPr="00AE69FF">
        <w:rPr>
          <w:rFonts w:ascii="Arial" w:hAnsi="Arial"/>
        </w:rPr>
        <w:t xml:space="preserve">PLAC </w:t>
      </w:r>
      <w:r w:rsidR="00974237">
        <w:rPr>
          <w:rFonts w:ascii="Arial" w:hAnsi="Arial"/>
        </w:rPr>
        <w:t xml:space="preserve">= </w:t>
      </w:r>
      <w:r w:rsidRPr="00AE69FF">
        <w:rPr>
          <w:rFonts w:ascii="Arial" w:hAnsi="Arial"/>
        </w:rPr>
        <w:t>Post Looked After Children</w:t>
      </w:r>
      <w:r w:rsidR="00974237">
        <w:rPr>
          <w:rFonts w:ascii="Arial" w:hAnsi="Arial"/>
        </w:rPr>
        <w:t xml:space="preserve"> (</w:t>
      </w:r>
      <w:r w:rsidR="00D00D86">
        <w:rPr>
          <w:rFonts w:ascii="Arial" w:hAnsi="Arial"/>
        </w:rPr>
        <w:t>also known as Children adopted from care or have left care)</w:t>
      </w:r>
    </w:p>
    <w:p w:rsidR="001903FE" w:rsidRPr="001903FE" w:rsidRDefault="001903FE" w:rsidP="00757CC5">
      <w:pPr>
        <w:spacing w:before="120"/>
        <w:rPr>
          <w:rFonts w:ascii="Arial" w:hAnsi="Arial"/>
        </w:rPr>
      </w:pPr>
      <w:r w:rsidRPr="001903FE">
        <w:rPr>
          <w:rFonts w:ascii="Arial" w:hAnsi="Arial"/>
        </w:rPr>
        <w:t xml:space="preserve">If a pupil is eligible for one of these </w:t>
      </w:r>
      <w:r>
        <w:rPr>
          <w:rFonts w:ascii="Arial" w:hAnsi="Arial"/>
        </w:rPr>
        <w:t xml:space="preserve">categories </w:t>
      </w:r>
      <w:r w:rsidRPr="001903FE">
        <w:rPr>
          <w:rFonts w:ascii="Arial" w:hAnsi="Arial"/>
        </w:rPr>
        <w:t>then the school will receive the relevant funding</w:t>
      </w:r>
      <w:r>
        <w:rPr>
          <w:rFonts w:ascii="Arial" w:hAnsi="Arial"/>
        </w:rPr>
        <w:t xml:space="preserve"> (2</w:t>
      </w:r>
      <w:r w:rsidR="007F14A7">
        <w:rPr>
          <w:rFonts w:ascii="Arial" w:hAnsi="Arial"/>
        </w:rPr>
        <w:t>0</w:t>
      </w:r>
      <w:r w:rsidR="00E66552">
        <w:rPr>
          <w:rFonts w:ascii="Arial" w:hAnsi="Arial"/>
        </w:rPr>
        <w:t>17</w:t>
      </w:r>
      <w:r w:rsidR="007F14A7">
        <w:rPr>
          <w:rFonts w:ascii="Arial" w:hAnsi="Arial"/>
        </w:rPr>
        <w:t>-</w:t>
      </w:r>
      <w:r w:rsidR="00E66552">
        <w:rPr>
          <w:rFonts w:ascii="Arial" w:hAnsi="Arial"/>
        </w:rPr>
        <w:t>18</w:t>
      </w:r>
      <w:r w:rsidR="00804280">
        <w:rPr>
          <w:rFonts w:ascii="Arial" w:hAnsi="Arial"/>
        </w:rPr>
        <w:t xml:space="preserve"> </w:t>
      </w:r>
      <w:r>
        <w:rPr>
          <w:rFonts w:ascii="Arial" w:hAnsi="Arial"/>
        </w:rPr>
        <w:t>rates are shown later in this section)</w:t>
      </w:r>
      <w:r w:rsidRPr="001903FE">
        <w:rPr>
          <w:rFonts w:ascii="Arial" w:hAnsi="Arial"/>
        </w:rPr>
        <w:t>.  However</w:t>
      </w:r>
      <w:r w:rsidR="00F01355">
        <w:rPr>
          <w:rFonts w:ascii="Arial" w:hAnsi="Arial"/>
        </w:rPr>
        <w:t>,</w:t>
      </w:r>
      <w:r w:rsidRPr="001903FE">
        <w:rPr>
          <w:rFonts w:ascii="Arial" w:hAnsi="Arial"/>
        </w:rPr>
        <w:t xml:space="preserve"> if a pupil is eligible for more than one category, things become a little more complicated.</w:t>
      </w:r>
      <w:r>
        <w:rPr>
          <w:rFonts w:ascii="Arial" w:hAnsi="Arial"/>
        </w:rPr>
        <w:t xml:space="preserve">  This is particularly so when a pupil is eligible for CiC </w:t>
      </w:r>
      <w:r w:rsidR="00A541CA">
        <w:rPr>
          <w:rFonts w:ascii="Arial" w:hAnsi="Arial"/>
        </w:rPr>
        <w:t xml:space="preserve">or </w:t>
      </w:r>
      <w:r>
        <w:rPr>
          <w:rFonts w:ascii="Arial" w:hAnsi="Arial"/>
        </w:rPr>
        <w:t>PLAC as well as E6FSM.</w:t>
      </w:r>
      <w:r w:rsidRPr="001903FE">
        <w:rPr>
          <w:rFonts w:ascii="Arial" w:hAnsi="Arial"/>
        </w:rPr>
        <w:t xml:space="preserve">  The table below shows the possible combinations in the left hand side, and then the funding that those combinations will deliver in the right hand side.</w:t>
      </w:r>
    </w:p>
    <w:p w:rsidR="00A04E2F" w:rsidRDefault="00A04E2F" w:rsidP="00293ADA">
      <w:pPr>
        <w:spacing w:before="120"/>
        <w:rPr>
          <w:rFonts w:ascii="Arial" w:hAnsi="Arial"/>
        </w:rPr>
      </w:pPr>
    </w:p>
    <w:tbl>
      <w:tblPr>
        <w:tblW w:w="9371" w:type="dxa"/>
        <w:tblInd w:w="93" w:type="dxa"/>
        <w:tblLayout w:type="fixed"/>
        <w:tblLook w:val="04A0" w:firstRow="1" w:lastRow="0" w:firstColumn="1" w:lastColumn="0" w:noHBand="0" w:noVBand="1"/>
      </w:tblPr>
      <w:tblGrid>
        <w:gridCol w:w="1244"/>
        <w:gridCol w:w="1244"/>
        <w:gridCol w:w="1244"/>
        <w:gridCol w:w="1245"/>
        <w:gridCol w:w="283"/>
        <w:gridCol w:w="1027"/>
        <w:gridCol w:w="1028"/>
        <w:gridCol w:w="1028"/>
        <w:gridCol w:w="1028"/>
      </w:tblGrid>
      <w:tr w:rsidR="008811AF" w:rsidTr="007F14A7">
        <w:trPr>
          <w:trHeight w:val="300"/>
        </w:trPr>
        <w:tc>
          <w:tcPr>
            <w:tcW w:w="497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11AF" w:rsidRPr="001903FE" w:rsidRDefault="008811AF">
            <w:pPr>
              <w:jc w:val="center"/>
              <w:rPr>
                <w:rFonts w:ascii="Arial" w:hAnsi="Arial" w:cs="Arial"/>
                <w:color w:val="000000"/>
              </w:rPr>
            </w:pPr>
            <w:bookmarkStart w:id="8" w:name="RANGE!B8:J20"/>
            <w:r w:rsidRPr="001903FE">
              <w:rPr>
                <w:rFonts w:ascii="Arial" w:hAnsi="Arial" w:cs="Arial"/>
                <w:color w:val="000000"/>
              </w:rPr>
              <w:t>Combination</w:t>
            </w:r>
            <w:bookmarkEnd w:id="8"/>
            <w:r w:rsidR="00A541CA">
              <w:rPr>
                <w:rFonts w:ascii="Arial" w:hAnsi="Arial" w:cs="Arial"/>
                <w:color w:val="000000"/>
              </w:rPr>
              <w:t>s</w:t>
            </w:r>
          </w:p>
        </w:tc>
        <w:tc>
          <w:tcPr>
            <w:tcW w:w="283"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411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Funding</w:t>
            </w:r>
          </w:p>
        </w:tc>
      </w:tr>
      <w:tr w:rsidR="00B15EE8" w:rsidTr="007F14A7">
        <w:trPr>
          <w:trHeight w:val="300"/>
        </w:trPr>
        <w:tc>
          <w:tcPr>
            <w:tcW w:w="1244" w:type="dxa"/>
            <w:tcBorders>
              <w:top w:val="nil"/>
              <w:left w:val="nil"/>
              <w:bottom w:val="nil"/>
              <w:right w:val="nil"/>
            </w:tcBorders>
            <w:shd w:val="clear" w:color="auto" w:fill="auto"/>
            <w:noWrap/>
            <w:vAlign w:val="bottom"/>
            <w:hideMark/>
          </w:tcPr>
          <w:p w:rsidR="008811AF" w:rsidRDefault="008811AF">
            <w:pPr>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244"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245"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283"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7"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8"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8"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8"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r>
      <w:tr w:rsidR="00B15EE8" w:rsidTr="007F14A7">
        <w:trPr>
          <w:trHeight w:val="588"/>
        </w:trPr>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1AF" w:rsidRDefault="008811AF" w:rsidP="001903FE">
            <w:pPr>
              <w:jc w:val="center"/>
              <w:rPr>
                <w:rFonts w:ascii="Arial" w:hAnsi="Arial" w:cs="Arial"/>
                <w:color w:val="000000"/>
              </w:rPr>
            </w:pPr>
            <w:r>
              <w:rPr>
                <w:rFonts w:ascii="Arial" w:eastAsia="Symbol" w:hAnsi="Arial" w:cs="Symbol"/>
                <w:color w:val="000000"/>
              </w:rPr>
              <w:t>E6FSM</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8811AF" w:rsidRPr="001903FE" w:rsidRDefault="00262705" w:rsidP="001903FE">
            <w:pPr>
              <w:jc w:val="center"/>
              <w:rPr>
                <w:rFonts w:ascii="Arial" w:hAnsi="Arial" w:cs="Arial"/>
                <w:color w:val="000000"/>
              </w:rPr>
            </w:pPr>
            <w:r>
              <w:rPr>
                <w:rFonts w:ascii="Arial" w:eastAsia="Symbol" w:hAnsi="Arial" w:cs="Arial"/>
                <w:color w:val="000000"/>
              </w:rPr>
              <w:t>E6</w:t>
            </w:r>
            <w:r w:rsidR="008811AF" w:rsidRPr="001903FE">
              <w:rPr>
                <w:rFonts w:ascii="Arial" w:eastAsia="Symbol" w:hAnsi="Arial" w:cs="Arial"/>
                <w:color w:val="000000"/>
              </w:rPr>
              <w:t>SC</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8811AF" w:rsidRPr="001903FE" w:rsidRDefault="008811AF" w:rsidP="001903FE">
            <w:pPr>
              <w:jc w:val="center"/>
              <w:rPr>
                <w:rFonts w:ascii="Arial" w:hAnsi="Arial" w:cs="Arial"/>
                <w:color w:val="000000"/>
              </w:rPr>
            </w:pPr>
            <w:r w:rsidRPr="001903FE">
              <w:rPr>
                <w:rFonts w:ascii="Arial" w:eastAsia="Symbol" w:hAnsi="Arial" w:cs="Arial"/>
                <w:color w:val="000000"/>
              </w:rPr>
              <w:t>CiC</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811AF" w:rsidRPr="001903FE" w:rsidRDefault="008811AF" w:rsidP="001903FE">
            <w:pPr>
              <w:jc w:val="center"/>
              <w:rPr>
                <w:rFonts w:ascii="Arial" w:hAnsi="Arial" w:cs="Arial"/>
                <w:color w:val="000000"/>
              </w:rPr>
            </w:pPr>
            <w:r w:rsidRPr="001903FE">
              <w:rPr>
                <w:rFonts w:ascii="Arial" w:eastAsia="Symbol" w:hAnsi="Arial" w:cs="Arial"/>
                <w:color w:val="000000"/>
              </w:rPr>
              <w:t>PLAC</w:t>
            </w:r>
          </w:p>
        </w:tc>
        <w:tc>
          <w:tcPr>
            <w:tcW w:w="283"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1AF" w:rsidRPr="001903FE" w:rsidRDefault="008811AF" w:rsidP="001903FE">
            <w:pPr>
              <w:jc w:val="center"/>
              <w:rPr>
                <w:rFonts w:ascii="Arial" w:hAnsi="Arial" w:cs="Arial"/>
                <w:color w:val="000000"/>
              </w:rPr>
            </w:pPr>
            <w:r w:rsidRPr="001903FE">
              <w:rPr>
                <w:rFonts w:ascii="Arial" w:hAnsi="Arial" w:cs="Arial"/>
                <w:color w:val="000000"/>
              </w:rPr>
              <w:t>E6FSM</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8811AF" w:rsidRPr="001903FE" w:rsidRDefault="00262705" w:rsidP="001903FE">
            <w:pPr>
              <w:jc w:val="center"/>
              <w:rPr>
                <w:rFonts w:ascii="Arial" w:hAnsi="Arial" w:cs="Arial"/>
                <w:color w:val="000000"/>
              </w:rPr>
            </w:pPr>
            <w:r>
              <w:rPr>
                <w:rFonts w:ascii="Arial" w:hAnsi="Arial" w:cs="Arial"/>
                <w:color w:val="000000"/>
              </w:rPr>
              <w:t>E6</w:t>
            </w:r>
            <w:r w:rsidR="008811AF" w:rsidRPr="001903FE">
              <w:rPr>
                <w:rFonts w:ascii="Arial" w:hAnsi="Arial" w:cs="Arial"/>
                <w:color w:val="000000"/>
              </w:rPr>
              <w:t>SC</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8811AF" w:rsidRPr="001903FE" w:rsidRDefault="001903FE" w:rsidP="001903FE">
            <w:pPr>
              <w:jc w:val="center"/>
              <w:rPr>
                <w:rFonts w:ascii="Arial" w:hAnsi="Arial" w:cs="Arial"/>
                <w:color w:val="000000"/>
              </w:rPr>
            </w:pPr>
            <w:r w:rsidRPr="001903FE">
              <w:rPr>
                <w:rFonts w:ascii="Arial" w:hAnsi="Arial" w:cs="Arial"/>
                <w:color w:val="000000"/>
              </w:rPr>
              <w:t>C</w:t>
            </w:r>
            <w:r>
              <w:rPr>
                <w:rFonts w:ascii="Arial" w:hAnsi="Arial" w:cs="Arial"/>
                <w:color w:val="000000"/>
              </w:rPr>
              <w:t>i</w:t>
            </w:r>
            <w:r w:rsidRPr="001903FE">
              <w:rPr>
                <w:rFonts w:ascii="Arial" w:hAnsi="Arial" w:cs="Arial"/>
                <w:color w:val="000000"/>
              </w:rPr>
              <w:t>C</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8811AF" w:rsidRPr="001903FE" w:rsidRDefault="008811AF" w:rsidP="001903FE">
            <w:pPr>
              <w:jc w:val="center"/>
              <w:rPr>
                <w:rFonts w:ascii="Arial" w:hAnsi="Arial" w:cs="Arial"/>
                <w:color w:val="000000"/>
              </w:rPr>
            </w:pPr>
            <w:r w:rsidRPr="001903FE">
              <w:rPr>
                <w:rFonts w:ascii="Arial" w:hAnsi="Arial" w:cs="Arial"/>
                <w:color w:val="000000"/>
              </w:rPr>
              <w:t>PLAC</w:t>
            </w:r>
          </w:p>
        </w:tc>
      </w:tr>
      <w:tr w:rsidR="00B15EE8" w:rsidTr="007F14A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283"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r>
      <w:tr w:rsidR="00B15EE8" w:rsidTr="007F14A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5"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283"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r>
      <w:tr w:rsidR="00B15EE8" w:rsidTr="007F14A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283"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r>
      <w:tr w:rsidR="00B15EE8" w:rsidTr="007F14A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5"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283"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r>
      <w:tr w:rsidR="00B15EE8" w:rsidTr="007F14A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283"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r>
    </w:tbl>
    <w:p w:rsidR="00262705" w:rsidRDefault="00262705" w:rsidP="00757CC5">
      <w:pPr>
        <w:spacing w:before="120"/>
        <w:rPr>
          <w:rFonts w:ascii="Arial" w:hAnsi="Arial"/>
        </w:rPr>
      </w:pPr>
      <w:r>
        <w:rPr>
          <w:rFonts w:ascii="Arial" w:hAnsi="Arial"/>
        </w:rPr>
        <w:t xml:space="preserve">This information is particularly relevant </w:t>
      </w:r>
      <w:r w:rsidR="00A353EE">
        <w:rPr>
          <w:rFonts w:ascii="Arial" w:hAnsi="Arial"/>
        </w:rPr>
        <w:t xml:space="preserve">in respect of </w:t>
      </w:r>
      <w:r w:rsidR="00804280">
        <w:rPr>
          <w:rFonts w:ascii="Arial" w:hAnsi="Arial"/>
        </w:rPr>
        <w:t>CiC, if a pupil is recorded as CiC</w:t>
      </w:r>
      <w:r w:rsidR="00E66552">
        <w:rPr>
          <w:rFonts w:ascii="Arial" w:hAnsi="Arial"/>
        </w:rPr>
        <w:t xml:space="preserve"> as at the 31 March </w:t>
      </w:r>
      <w:r w:rsidR="00672205">
        <w:rPr>
          <w:rFonts w:ascii="Arial" w:hAnsi="Arial"/>
        </w:rPr>
        <w:t>2017</w:t>
      </w:r>
      <w:r w:rsidR="00A353EE">
        <w:rPr>
          <w:rFonts w:ascii="Arial" w:hAnsi="Arial"/>
        </w:rPr>
        <w:t>, a school will not receive E6FSM funding for this pupil</w:t>
      </w:r>
      <w:r w:rsidR="00804280">
        <w:rPr>
          <w:rFonts w:ascii="Arial" w:hAnsi="Arial"/>
        </w:rPr>
        <w:t xml:space="preserve"> if eligible</w:t>
      </w:r>
      <w:r w:rsidR="00A353EE">
        <w:rPr>
          <w:rFonts w:ascii="Arial" w:hAnsi="Arial"/>
        </w:rPr>
        <w:t>. Schools are to note the adjustment for this type of pupil</w:t>
      </w:r>
      <w:r w:rsidR="00E66552">
        <w:rPr>
          <w:rFonts w:ascii="Arial" w:hAnsi="Arial"/>
        </w:rPr>
        <w:t xml:space="preserve"> will take place in January 2018</w:t>
      </w:r>
      <w:r w:rsidR="00A353EE">
        <w:rPr>
          <w:rFonts w:ascii="Arial" w:hAnsi="Arial"/>
        </w:rPr>
        <w:t xml:space="preserve"> as this is the point in time when the DfE update their records.</w:t>
      </w:r>
    </w:p>
    <w:p w:rsidR="00262705" w:rsidRDefault="00262705" w:rsidP="00757CC5">
      <w:pPr>
        <w:spacing w:before="120"/>
        <w:rPr>
          <w:rFonts w:ascii="Arial" w:hAnsi="Arial"/>
        </w:rPr>
      </w:pPr>
    </w:p>
    <w:p w:rsidR="00757CC5" w:rsidRPr="00EF2800" w:rsidRDefault="00C6056A" w:rsidP="00757CC5">
      <w:pPr>
        <w:spacing w:before="120"/>
        <w:rPr>
          <w:rFonts w:ascii="Arial" w:hAnsi="Arial"/>
          <w:b/>
        </w:rPr>
      </w:pPr>
      <w:r>
        <w:rPr>
          <w:rFonts w:ascii="Arial" w:hAnsi="Arial"/>
          <w:b/>
        </w:rPr>
        <w:t>E6</w:t>
      </w:r>
      <w:r w:rsidR="00E01965">
        <w:rPr>
          <w:rFonts w:ascii="Arial" w:hAnsi="Arial"/>
          <w:b/>
        </w:rPr>
        <w:t>FSM</w:t>
      </w:r>
    </w:p>
    <w:p w:rsidR="00C6056A" w:rsidRDefault="00E01965" w:rsidP="00757CC5">
      <w:pPr>
        <w:spacing w:before="120"/>
        <w:rPr>
          <w:rFonts w:ascii="Arial" w:hAnsi="Arial"/>
        </w:rPr>
      </w:pPr>
      <w:r>
        <w:rPr>
          <w:rFonts w:ascii="Arial" w:hAnsi="Arial"/>
        </w:rPr>
        <w:t>The</w:t>
      </w:r>
      <w:r w:rsidR="00C6056A">
        <w:rPr>
          <w:rFonts w:ascii="Arial" w:hAnsi="Arial"/>
        </w:rPr>
        <w:t xml:space="preserve"> eligibility criteria for E6FSM </w:t>
      </w:r>
      <w:r w:rsidR="00E66552">
        <w:rPr>
          <w:rFonts w:ascii="Arial" w:hAnsi="Arial"/>
        </w:rPr>
        <w:t>for 2017-18</w:t>
      </w:r>
      <w:r w:rsidR="00A04E2F">
        <w:rPr>
          <w:rFonts w:ascii="Arial" w:hAnsi="Arial"/>
        </w:rPr>
        <w:t xml:space="preserve"> includes pup</w:t>
      </w:r>
      <w:r w:rsidR="00E66552">
        <w:rPr>
          <w:rFonts w:ascii="Arial" w:hAnsi="Arial"/>
        </w:rPr>
        <w:t>ils recorded in the January 2017</w:t>
      </w:r>
      <w:r w:rsidR="00A04E2F">
        <w:rPr>
          <w:rFonts w:ascii="Arial" w:hAnsi="Arial"/>
        </w:rPr>
        <w:t xml:space="preserve"> census who are known to have been eligible for free school meals (FSM</w:t>
      </w:r>
      <w:r w:rsidR="00804280">
        <w:rPr>
          <w:rFonts w:ascii="Arial" w:hAnsi="Arial"/>
        </w:rPr>
        <w:t>s</w:t>
      </w:r>
      <w:r w:rsidR="00E66552">
        <w:rPr>
          <w:rFonts w:ascii="Arial" w:hAnsi="Arial"/>
        </w:rPr>
        <w:t>) since May 2011</w:t>
      </w:r>
      <w:r w:rsidR="00A04E2F">
        <w:rPr>
          <w:rFonts w:ascii="Arial" w:hAnsi="Arial"/>
        </w:rPr>
        <w:t>, as well as those first known to be el</w:t>
      </w:r>
      <w:r w:rsidR="00E66552">
        <w:rPr>
          <w:rFonts w:ascii="Arial" w:hAnsi="Arial"/>
        </w:rPr>
        <w:t>igible at January 2017</w:t>
      </w:r>
      <w:r w:rsidR="00AF4C38">
        <w:rPr>
          <w:rFonts w:ascii="Arial" w:hAnsi="Arial"/>
        </w:rPr>
        <w:t xml:space="preserve">. Pupils in reception </w:t>
      </w:r>
      <w:r w:rsidR="00DB5143">
        <w:rPr>
          <w:rFonts w:ascii="Arial" w:hAnsi="Arial"/>
        </w:rPr>
        <w:t xml:space="preserve">through </w:t>
      </w:r>
      <w:r w:rsidR="00AF4C38">
        <w:rPr>
          <w:rFonts w:ascii="Arial" w:hAnsi="Arial"/>
        </w:rPr>
        <w:t xml:space="preserve">to year 6 recorded as E6FSM will </w:t>
      </w:r>
      <w:r w:rsidR="00405C96">
        <w:rPr>
          <w:rFonts w:ascii="Arial" w:hAnsi="Arial"/>
        </w:rPr>
        <w:t xml:space="preserve">be funded at </w:t>
      </w:r>
      <w:r w:rsidR="00AF4C38">
        <w:rPr>
          <w:rFonts w:ascii="Arial" w:hAnsi="Arial"/>
        </w:rPr>
        <w:t xml:space="preserve">£1,320 per pupil and pupils in year </w:t>
      </w:r>
      <w:r w:rsidR="00804280">
        <w:rPr>
          <w:rFonts w:ascii="Arial" w:hAnsi="Arial"/>
        </w:rPr>
        <w:t xml:space="preserve">groups </w:t>
      </w:r>
      <w:r w:rsidR="00AF4C38">
        <w:rPr>
          <w:rFonts w:ascii="Arial" w:hAnsi="Arial"/>
        </w:rPr>
        <w:t xml:space="preserve">7 to 11 recorded as E6FSM will </w:t>
      </w:r>
      <w:r w:rsidR="00405C96">
        <w:rPr>
          <w:rFonts w:ascii="Arial" w:hAnsi="Arial"/>
        </w:rPr>
        <w:t>be funded at £935 per pupil.</w:t>
      </w:r>
    </w:p>
    <w:p w:rsidR="00877356" w:rsidRDefault="00B45A38" w:rsidP="00757CC5">
      <w:pPr>
        <w:spacing w:before="120"/>
        <w:rPr>
          <w:rFonts w:ascii="Arial" w:hAnsi="Arial"/>
        </w:rPr>
      </w:pPr>
      <w:r>
        <w:rPr>
          <w:rFonts w:ascii="Arial" w:hAnsi="Arial"/>
        </w:rPr>
        <w:t>Provisionally the DfE has</w:t>
      </w:r>
      <w:r w:rsidR="00877356">
        <w:rPr>
          <w:rFonts w:ascii="Arial" w:hAnsi="Arial"/>
        </w:rPr>
        <w:t xml:space="preserve"> provided the LA with an indicative budget for </w:t>
      </w:r>
      <w:r w:rsidR="00043425">
        <w:rPr>
          <w:rFonts w:ascii="Arial" w:hAnsi="Arial"/>
        </w:rPr>
        <w:t>E6FSM based on your sc</w:t>
      </w:r>
      <w:r w:rsidR="00E66552">
        <w:rPr>
          <w:rFonts w:ascii="Arial" w:hAnsi="Arial"/>
        </w:rPr>
        <w:t>hools 2016-17</w:t>
      </w:r>
      <w:r w:rsidR="00877356">
        <w:rPr>
          <w:rFonts w:ascii="Arial" w:hAnsi="Arial"/>
        </w:rPr>
        <w:t xml:space="preserve"> E6FSM funded numbers. In the first instance this allocation will </w:t>
      </w:r>
      <w:r w:rsidR="00061A9C">
        <w:rPr>
          <w:rFonts w:ascii="Arial" w:hAnsi="Arial"/>
        </w:rPr>
        <w:t xml:space="preserve">be </w:t>
      </w:r>
      <w:r w:rsidR="00877356">
        <w:rPr>
          <w:rFonts w:ascii="Arial" w:hAnsi="Arial"/>
        </w:rPr>
        <w:t xml:space="preserve">passed on to schools, however </w:t>
      </w:r>
      <w:r w:rsidR="006B0925">
        <w:rPr>
          <w:rFonts w:ascii="Arial" w:hAnsi="Arial"/>
        </w:rPr>
        <w:t xml:space="preserve">this will be adjusted in year as </w:t>
      </w:r>
      <w:r w:rsidR="00877356">
        <w:rPr>
          <w:rFonts w:ascii="Arial" w:hAnsi="Arial"/>
        </w:rPr>
        <w:t>your</w:t>
      </w:r>
      <w:r w:rsidR="00061A9C">
        <w:rPr>
          <w:rFonts w:ascii="Arial" w:hAnsi="Arial"/>
        </w:rPr>
        <w:t xml:space="preserve"> school</w:t>
      </w:r>
      <w:r>
        <w:rPr>
          <w:rFonts w:ascii="Arial" w:hAnsi="Arial"/>
        </w:rPr>
        <w:t>’</w:t>
      </w:r>
      <w:r w:rsidR="00061A9C">
        <w:rPr>
          <w:rFonts w:ascii="Arial" w:hAnsi="Arial"/>
        </w:rPr>
        <w:t>s</w:t>
      </w:r>
      <w:r w:rsidR="00E66552">
        <w:rPr>
          <w:rFonts w:ascii="Arial" w:hAnsi="Arial"/>
        </w:rPr>
        <w:t xml:space="preserve"> final allocation for 2017-18</w:t>
      </w:r>
      <w:r w:rsidR="00877356">
        <w:rPr>
          <w:rFonts w:ascii="Arial" w:hAnsi="Arial"/>
        </w:rPr>
        <w:t xml:space="preserve"> wi</w:t>
      </w:r>
      <w:r w:rsidR="00E66552">
        <w:rPr>
          <w:rFonts w:ascii="Arial" w:hAnsi="Arial"/>
        </w:rPr>
        <w:t>ll be based on your January 2017</w:t>
      </w:r>
      <w:r w:rsidR="00877356">
        <w:rPr>
          <w:rFonts w:ascii="Arial" w:hAnsi="Arial"/>
        </w:rPr>
        <w:t xml:space="preserve"> </w:t>
      </w:r>
      <w:r w:rsidR="00043425">
        <w:rPr>
          <w:rFonts w:ascii="Arial" w:hAnsi="Arial"/>
        </w:rPr>
        <w:t>census return</w:t>
      </w:r>
      <w:r w:rsidR="00DB5143">
        <w:rPr>
          <w:rFonts w:ascii="Arial" w:hAnsi="Arial"/>
        </w:rPr>
        <w:t>.  I</w:t>
      </w:r>
      <w:r w:rsidR="00043425">
        <w:rPr>
          <w:rFonts w:ascii="Arial" w:hAnsi="Arial"/>
        </w:rPr>
        <w:t>n light of this provisionally only the first three months (April to June) will be profiled on your schools advance.</w:t>
      </w:r>
    </w:p>
    <w:p w:rsidR="00061A9C" w:rsidRPr="00F91B81" w:rsidRDefault="00061A9C" w:rsidP="00757CC5">
      <w:pPr>
        <w:spacing w:before="120"/>
        <w:rPr>
          <w:rFonts w:ascii="Arial" w:hAnsi="Arial"/>
          <w:b/>
          <w:u w:val="single"/>
        </w:rPr>
      </w:pPr>
      <w:r>
        <w:rPr>
          <w:rFonts w:ascii="Arial" w:hAnsi="Arial"/>
        </w:rPr>
        <w:t>We anticipate that the DfE will allocate the final E6FSM all</w:t>
      </w:r>
      <w:r w:rsidR="0092108E">
        <w:rPr>
          <w:rFonts w:ascii="Arial" w:hAnsi="Arial"/>
        </w:rPr>
        <w:t xml:space="preserve">ocation late in the summer </w:t>
      </w:r>
      <w:r w:rsidR="00E66552">
        <w:rPr>
          <w:rFonts w:ascii="Arial" w:hAnsi="Arial"/>
        </w:rPr>
        <w:t>based on the January 2017</w:t>
      </w:r>
      <w:r>
        <w:rPr>
          <w:rFonts w:ascii="Arial" w:hAnsi="Arial"/>
        </w:rPr>
        <w:t xml:space="preserve"> </w:t>
      </w:r>
      <w:r w:rsidR="00A541CA">
        <w:rPr>
          <w:rFonts w:ascii="Arial" w:hAnsi="Arial"/>
        </w:rPr>
        <w:t>census;</w:t>
      </w:r>
      <w:r>
        <w:rPr>
          <w:rFonts w:ascii="Arial" w:hAnsi="Arial"/>
        </w:rPr>
        <w:t xml:space="preserve"> at this point an adjustment will be made to your school</w:t>
      </w:r>
      <w:r w:rsidR="00B45A38">
        <w:rPr>
          <w:rFonts w:ascii="Arial" w:hAnsi="Arial"/>
        </w:rPr>
        <w:t>’</w:t>
      </w:r>
      <w:r>
        <w:rPr>
          <w:rFonts w:ascii="Arial" w:hAnsi="Arial"/>
        </w:rPr>
        <w:t xml:space="preserve">s E6FSM indicative budget </w:t>
      </w:r>
      <w:r w:rsidR="00DC4645">
        <w:rPr>
          <w:rFonts w:ascii="Arial" w:hAnsi="Arial"/>
        </w:rPr>
        <w:t>to reflect the</w:t>
      </w:r>
      <w:r>
        <w:rPr>
          <w:rFonts w:ascii="Arial" w:hAnsi="Arial"/>
        </w:rPr>
        <w:t xml:space="preserve"> final allocation. </w:t>
      </w:r>
      <w:r w:rsidRPr="00F91B81">
        <w:rPr>
          <w:rFonts w:ascii="Arial" w:hAnsi="Arial"/>
          <w:b/>
          <w:u w:val="single"/>
        </w:rPr>
        <w:t>It is important for schools to note that for initial budgeting purposes</w:t>
      </w:r>
      <w:r w:rsidR="00DC4645">
        <w:rPr>
          <w:rFonts w:ascii="Arial" w:hAnsi="Arial"/>
          <w:b/>
          <w:u w:val="single"/>
        </w:rPr>
        <w:t>,</w:t>
      </w:r>
      <w:r w:rsidRPr="00F91B81">
        <w:rPr>
          <w:rFonts w:ascii="Arial" w:hAnsi="Arial"/>
          <w:b/>
          <w:u w:val="single"/>
        </w:rPr>
        <w:t xml:space="preserve"> schools should </w:t>
      </w:r>
      <w:r w:rsidR="00F91B81" w:rsidRPr="00F91B81">
        <w:rPr>
          <w:rFonts w:ascii="Arial" w:hAnsi="Arial"/>
          <w:b/>
          <w:u w:val="single"/>
        </w:rPr>
        <w:t>use</w:t>
      </w:r>
      <w:r w:rsidR="00FC5C1A">
        <w:rPr>
          <w:rFonts w:ascii="Arial" w:hAnsi="Arial"/>
          <w:b/>
          <w:u w:val="single"/>
        </w:rPr>
        <w:t xml:space="preserve"> their</w:t>
      </w:r>
      <w:r w:rsidRPr="00F91B81">
        <w:rPr>
          <w:rFonts w:ascii="Arial" w:hAnsi="Arial"/>
          <w:b/>
          <w:u w:val="single"/>
        </w:rPr>
        <w:t xml:space="preserve"> local </w:t>
      </w:r>
      <w:r w:rsidR="00F91B81" w:rsidRPr="00F91B81">
        <w:rPr>
          <w:rFonts w:ascii="Arial" w:hAnsi="Arial"/>
          <w:b/>
          <w:u w:val="single"/>
        </w:rPr>
        <w:t>records</w:t>
      </w:r>
      <w:r w:rsidRPr="00F91B81">
        <w:rPr>
          <w:rFonts w:ascii="Arial" w:hAnsi="Arial"/>
          <w:b/>
          <w:u w:val="single"/>
        </w:rPr>
        <w:t xml:space="preserve"> to estimate the number of eligible</w:t>
      </w:r>
      <w:r w:rsidR="00E66552">
        <w:rPr>
          <w:rFonts w:ascii="Arial" w:hAnsi="Arial"/>
          <w:b/>
          <w:u w:val="single"/>
        </w:rPr>
        <w:t xml:space="preserve"> E6FSM for the period April 2017 to March 2018</w:t>
      </w:r>
    </w:p>
    <w:p w:rsidR="00262705" w:rsidRDefault="008443B7" w:rsidP="00757CC5">
      <w:pPr>
        <w:spacing w:before="120"/>
        <w:rPr>
          <w:rFonts w:ascii="Arial" w:hAnsi="Arial"/>
        </w:rPr>
      </w:pPr>
      <w:r>
        <w:rPr>
          <w:rFonts w:ascii="Arial" w:hAnsi="Arial"/>
        </w:rPr>
        <w:t>To date we have no information from the DfE reg</w:t>
      </w:r>
      <w:r w:rsidR="00E66552">
        <w:rPr>
          <w:rFonts w:ascii="Arial" w:hAnsi="Arial"/>
        </w:rPr>
        <w:t>arding PP funding rates for 2018-19</w:t>
      </w:r>
      <w:r>
        <w:rPr>
          <w:rFonts w:ascii="Arial" w:hAnsi="Arial"/>
        </w:rPr>
        <w:t>, therefore for the pu</w:t>
      </w:r>
      <w:r w:rsidR="00B45A38">
        <w:rPr>
          <w:rFonts w:ascii="Arial" w:hAnsi="Arial"/>
        </w:rPr>
        <w:t>rpose of estimating future year</w:t>
      </w:r>
      <w:r>
        <w:rPr>
          <w:rFonts w:ascii="Arial" w:hAnsi="Arial"/>
        </w:rPr>
        <w:t>s</w:t>
      </w:r>
      <w:r w:rsidR="00B45A38">
        <w:rPr>
          <w:rFonts w:ascii="Arial" w:hAnsi="Arial"/>
        </w:rPr>
        <w:t>’</w:t>
      </w:r>
      <w:r>
        <w:rPr>
          <w:rFonts w:ascii="Arial" w:hAnsi="Arial"/>
        </w:rPr>
        <w:t xml:space="preserve"> budgets we have assumed that the funding rate</w:t>
      </w:r>
      <w:r w:rsidR="00043425">
        <w:rPr>
          <w:rFonts w:ascii="Arial" w:hAnsi="Arial"/>
        </w:rPr>
        <w:t xml:space="preserve">s will be maintained at </w:t>
      </w:r>
      <w:r w:rsidR="00E66552">
        <w:rPr>
          <w:rFonts w:ascii="Arial" w:hAnsi="Arial"/>
        </w:rPr>
        <w:t>the 2018-19</w:t>
      </w:r>
      <w:r w:rsidRPr="000467C6">
        <w:rPr>
          <w:rFonts w:ascii="Arial" w:hAnsi="Arial"/>
        </w:rPr>
        <w:t xml:space="preserve"> levels</w:t>
      </w:r>
      <w:r>
        <w:rPr>
          <w:rFonts w:ascii="Arial" w:hAnsi="Arial"/>
        </w:rPr>
        <w:t>.</w:t>
      </w:r>
    </w:p>
    <w:p w:rsidR="00262705" w:rsidRDefault="00262705" w:rsidP="00757CC5">
      <w:pPr>
        <w:spacing w:before="120"/>
        <w:rPr>
          <w:rFonts w:ascii="Arial" w:hAnsi="Arial"/>
        </w:rPr>
      </w:pPr>
    </w:p>
    <w:p w:rsidR="008849C0" w:rsidRDefault="008849C0" w:rsidP="004456BE">
      <w:pPr>
        <w:spacing w:before="120"/>
        <w:rPr>
          <w:rFonts w:ascii="Arial" w:hAnsi="Arial"/>
          <w:b/>
        </w:rPr>
      </w:pPr>
      <w:r>
        <w:rPr>
          <w:rFonts w:ascii="Arial" w:hAnsi="Arial"/>
          <w:b/>
        </w:rPr>
        <w:t>CIC</w:t>
      </w:r>
      <w:r w:rsidR="00262705">
        <w:rPr>
          <w:rFonts w:ascii="Arial" w:hAnsi="Arial"/>
          <w:b/>
        </w:rPr>
        <w:t xml:space="preserve"> </w:t>
      </w:r>
      <w:r w:rsidR="004456BE">
        <w:rPr>
          <w:rFonts w:ascii="Arial" w:hAnsi="Arial"/>
          <w:b/>
        </w:rPr>
        <w:t xml:space="preserve">PP </w:t>
      </w:r>
      <w:r w:rsidR="00293ADA">
        <w:rPr>
          <w:rFonts w:ascii="Arial" w:hAnsi="Arial"/>
          <w:b/>
        </w:rPr>
        <w:t>(</w:t>
      </w:r>
      <w:r w:rsidR="004456BE">
        <w:rPr>
          <w:rFonts w:ascii="Arial" w:hAnsi="Arial"/>
          <w:b/>
        </w:rPr>
        <w:t>also known as PP+</w:t>
      </w:r>
      <w:r w:rsidR="00293ADA">
        <w:rPr>
          <w:rFonts w:ascii="Arial" w:hAnsi="Arial"/>
          <w:b/>
        </w:rPr>
        <w:t>)</w:t>
      </w:r>
    </w:p>
    <w:p w:rsidR="00F63B9E" w:rsidRPr="00010A54" w:rsidRDefault="00F63B9E" w:rsidP="00974237">
      <w:pPr>
        <w:spacing w:before="120"/>
        <w:rPr>
          <w:rFonts w:ascii="Arial" w:hAnsi="Arial" w:cs="Arial"/>
          <w:color w:val="1F497D"/>
        </w:rPr>
      </w:pPr>
      <w:r w:rsidRPr="00974237">
        <w:rPr>
          <w:rFonts w:ascii="Arial" w:hAnsi="Arial" w:cs="Arial"/>
        </w:rPr>
        <w:t>The V</w:t>
      </w:r>
      <w:r w:rsidR="004456BE" w:rsidRPr="00974237">
        <w:rPr>
          <w:rFonts w:ascii="Arial" w:hAnsi="Arial" w:cs="Arial"/>
        </w:rPr>
        <w:t>irtual Schools Kent</w:t>
      </w:r>
      <w:r w:rsidRPr="00974237">
        <w:rPr>
          <w:rFonts w:ascii="Arial" w:hAnsi="Arial" w:cs="Arial"/>
        </w:rPr>
        <w:t xml:space="preserve"> (VSK)</w:t>
      </w:r>
      <w:r w:rsidR="004456BE" w:rsidRPr="00974237">
        <w:rPr>
          <w:rFonts w:ascii="Arial" w:hAnsi="Arial" w:cs="Arial"/>
        </w:rPr>
        <w:t xml:space="preserve"> will be publishing </w:t>
      </w:r>
      <w:r w:rsidR="00974237" w:rsidRPr="00974237">
        <w:rPr>
          <w:rFonts w:ascii="Arial" w:hAnsi="Arial" w:cs="Arial"/>
        </w:rPr>
        <w:t xml:space="preserve">further </w:t>
      </w:r>
      <w:r w:rsidR="004456BE" w:rsidRPr="00974237">
        <w:rPr>
          <w:rFonts w:ascii="Arial" w:hAnsi="Arial" w:cs="Arial"/>
        </w:rPr>
        <w:t xml:space="preserve">guidance </w:t>
      </w:r>
      <w:r w:rsidRPr="00974237">
        <w:rPr>
          <w:rFonts w:ascii="Arial" w:hAnsi="Arial" w:cs="Arial"/>
        </w:rPr>
        <w:t>i</w:t>
      </w:r>
      <w:r w:rsidR="00010A54" w:rsidRPr="00974237">
        <w:rPr>
          <w:rFonts w:ascii="Arial" w:hAnsi="Arial" w:cs="Arial"/>
        </w:rPr>
        <w:t>n</w:t>
      </w:r>
      <w:r w:rsidRPr="00974237">
        <w:rPr>
          <w:rFonts w:ascii="Arial" w:hAnsi="Arial" w:cs="Arial"/>
        </w:rPr>
        <w:t xml:space="preserve"> due course and </w:t>
      </w:r>
      <w:r w:rsidR="00010A54" w:rsidRPr="00974237">
        <w:rPr>
          <w:rFonts w:ascii="Arial" w:hAnsi="Arial" w:cs="Arial"/>
        </w:rPr>
        <w:t xml:space="preserve">it is our understanding that </w:t>
      </w:r>
      <w:r w:rsidRPr="00974237">
        <w:rPr>
          <w:rFonts w:ascii="Arial" w:hAnsi="Arial" w:cs="Arial"/>
        </w:rPr>
        <w:t>this information will be published on their website</w:t>
      </w:r>
      <w:r w:rsidR="00010A54" w:rsidRPr="00974237">
        <w:rPr>
          <w:rFonts w:ascii="Arial" w:hAnsi="Arial" w:cs="Arial"/>
        </w:rPr>
        <w:t xml:space="preserve">.  </w:t>
      </w:r>
      <w:r w:rsidR="00974237" w:rsidRPr="00974237">
        <w:rPr>
          <w:rFonts w:ascii="Arial" w:hAnsi="Arial" w:cs="Arial"/>
        </w:rPr>
        <w:t xml:space="preserve">However based on the information supplied by the VSK Headteacher, an allocation of £900 per eligible pupil will be paid to schools in 3 instalments of £300 each.  In </w:t>
      </w:r>
      <w:r w:rsidR="00A11AAB">
        <w:rPr>
          <w:rFonts w:ascii="Arial" w:hAnsi="Arial" w:cs="Arial"/>
        </w:rPr>
        <w:t>addition to this, schools can bi</w:t>
      </w:r>
      <w:r w:rsidR="00974237" w:rsidRPr="00974237">
        <w:rPr>
          <w:rFonts w:ascii="Arial" w:hAnsi="Arial" w:cs="Arial"/>
        </w:rPr>
        <w:t xml:space="preserve">d for additional amounts based on evidenced levels of need.  </w:t>
      </w:r>
      <w:r w:rsidR="00010A54" w:rsidRPr="00974237">
        <w:rPr>
          <w:rFonts w:ascii="Arial" w:hAnsi="Arial" w:cs="Arial"/>
        </w:rPr>
        <w:t>T</w:t>
      </w:r>
      <w:r w:rsidRPr="00974237">
        <w:rPr>
          <w:rFonts w:ascii="Arial" w:hAnsi="Arial" w:cs="Arial"/>
        </w:rPr>
        <w:t xml:space="preserve">o access the VSK website click on this link </w:t>
      </w:r>
      <w:hyperlink r:id="rId21" w:history="1">
        <w:r w:rsidRPr="00974237">
          <w:rPr>
            <w:rStyle w:val="Hyperlink"/>
            <w:rFonts w:ascii="Arial" w:hAnsi="Arial" w:cs="Arial"/>
          </w:rPr>
          <w:t>http://www.virtualschool.lea.kent.sch.uk/</w:t>
        </w:r>
      </w:hyperlink>
      <w:r w:rsidRPr="00974237">
        <w:rPr>
          <w:rFonts w:ascii="Arial" w:hAnsi="Arial" w:cs="Arial"/>
          <w:color w:val="1F497D"/>
        </w:rPr>
        <w:t xml:space="preserve">. </w:t>
      </w:r>
      <w:r w:rsidRPr="00974237">
        <w:rPr>
          <w:rFonts w:ascii="Arial" w:hAnsi="Arial" w:cs="Arial"/>
        </w:rPr>
        <w:t>If you have any queries in the meantime, please contact one of the following VSK Deputy Heads.</w:t>
      </w:r>
    </w:p>
    <w:p w:rsidR="00F63B9E" w:rsidRPr="00010A54" w:rsidRDefault="00F63B9E" w:rsidP="004456BE">
      <w:pPr>
        <w:rPr>
          <w:rFonts w:ascii="Arial" w:hAnsi="Arial"/>
        </w:rPr>
      </w:pPr>
    </w:p>
    <w:p w:rsidR="00F63B9E" w:rsidRPr="00010A54" w:rsidRDefault="004456BE" w:rsidP="00F63B9E">
      <w:pPr>
        <w:pStyle w:val="ListParagraph"/>
        <w:numPr>
          <w:ilvl w:val="0"/>
          <w:numId w:val="31"/>
        </w:numPr>
        <w:rPr>
          <w:rFonts w:ascii="Arial" w:hAnsi="Arial"/>
        </w:rPr>
      </w:pPr>
      <w:r w:rsidRPr="00010A54">
        <w:rPr>
          <w:rFonts w:ascii="Arial" w:hAnsi="Arial"/>
        </w:rPr>
        <w:t>East Kent – Ann Parnell</w:t>
      </w:r>
      <w:r w:rsidR="00F63B9E" w:rsidRPr="00010A54">
        <w:rPr>
          <w:rFonts w:ascii="Arial" w:hAnsi="Arial"/>
        </w:rPr>
        <w:t xml:space="preserve"> (email  </w:t>
      </w:r>
      <w:hyperlink r:id="rId22" w:history="1">
        <w:r w:rsidR="00010A54" w:rsidRPr="00630280">
          <w:rPr>
            <w:rStyle w:val="Hyperlink"/>
            <w:rFonts w:ascii="Arial" w:hAnsi="Arial"/>
          </w:rPr>
          <w:t>ann.parnell@kent.gov.uk</w:t>
        </w:r>
      </w:hyperlink>
      <w:r w:rsidR="00010A54">
        <w:rPr>
          <w:rFonts w:ascii="Arial" w:hAnsi="Arial"/>
        </w:rPr>
        <w:t xml:space="preserve"> </w:t>
      </w:r>
      <w:r w:rsidR="00F63B9E" w:rsidRPr="00010A54">
        <w:rPr>
          <w:rFonts w:ascii="Arial" w:hAnsi="Arial"/>
        </w:rPr>
        <w:t>)</w:t>
      </w:r>
    </w:p>
    <w:p w:rsidR="004456BE" w:rsidRPr="00010A54" w:rsidRDefault="004456BE" w:rsidP="00F63B9E">
      <w:pPr>
        <w:pStyle w:val="ListParagraph"/>
        <w:numPr>
          <w:ilvl w:val="0"/>
          <w:numId w:val="31"/>
        </w:numPr>
        <w:rPr>
          <w:rFonts w:ascii="Arial" w:hAnsi="Arial"/>
        </w:rPr>
      </w:pPr>
      <w:r w:rsidRPr="00010A54">
        <w:rPr>
          <w:rFonts w:ascii="Arial" w:hAnsi="Arial"/>
        </w:rPr>
        <w:t>South Kent – Marian Smith</w:t>
      </w:r>
      <w:r w:rsidR="00F63B9E" w:rsidRPr="00010A54">
        <w:rPr>
          <w:rFonts w:ascii="Arial" w:hAnsi="Arial"/>
        </w:rPr>
        <w:t xml:space="preserve"> (email  </w:t>
      </w:r>
      <w:hyperlink r:id="rId23" w:history="1">
        <w:r w:rsidR="00010A54" w:rsidRPr="00630280">
          <w:rPr>
            <w:rStyle w:val="Hyperlink"/>
            <w:rFonts w:ascii="Arial" w:hAnsi="Arial"/>
          </w:rPr>
          <w:t>marian.smith@kent.gov.uk</w:t>
        </w:r>
      </w:hyperlink>
      <w:r w:rsidR="00010A54">
        <w:rPr>
          <w:rFonts w:ascii="Arial" w:hAnsi="Arial"/>
        </w:rPr>
        <w:t xml:space="preserve"> </w:t>
      </w:r>
      <w:r w:rsidR="00F63B9E" w:rsidRPr="00010A54">
        <w:rPr>
          <w:rFonts w:ascii="Arial" w:hAnsi="Arial"/>
        </w:rPr>
        <w:t>)</w:t>
      </w:r>
    </w:p>
    <w:p w:rsidR="004456BE" w:rsidRPr="00010A54" w:rsidRDefault="004456BE" w:rsidP="00F63B9E">
      <w:pPr>
        <w:pStyle w:val="ListParagraph"/>
        <w:numPr>
          <w:ilvl w:val="0"/>
          <w:numId w:val="31"/>
        </w:numPr>
        <w:rPr>
          <w:rFonts w:ascii="Arial" w:hAnsi="Arial"/>
        </w:rPr>
      </w:pPr>
      <w:r w:rsidRPr="00010A54">
        <w:rPr>
          <w:rFonts w:ascii="Arial" w:hAnsi="Arial"/>
        </w:rPr>
        <w:t>West and North Kent – Malcolm Thomas</w:t>
      </w:r>
      <w:r w:rsidR="00F63B9E" w:rsidRPr="00010A54">
        <w:rPr>
          <w:rFonts w:ascii="Arial" w:hAnsi="Arial"/>
        </w:rPr>
        <w:t xml:space="preserve">(email  </w:t>
      </w:r>
      <w:hyperlink r:id="rId24" w:history="1">
        <w:r w:rsidR="00010A54" w:rsidRPr="00630280">
          <w:rPr>
            <w:rStyle w:val="Hyperlink"/>
            <w:rFonts w:ascii="Arial" w:hAnsi="Arial"/>
          </w:rPr>
          <w:t>malcolm.thomas@kent.gov.uk</w:t>
        </w:r>
      </w:hyperlink>
      <w:r w:rsidR="00010A54">
        <w:rPr>
          <w:rFonts w:ascii="Arial" w:hAnsi="Arial"/>
        </w:rPr>
        <w:t xml:space="preserve"> </w:t>
      </w:r>
      <w:r w:rsidR="00F63B9E" w:rsidRPr="00010A54">
        <w:rPr>
          <w:rFonts w:ascii="Arial" w:hAnsi="Arial"/>
        </w:rPr>
        <w:t>)</w:t>
      </w:r>
    </w:p>
    <w:p w:rsidR="00E66552" w:rsidRDefault="00E66552" w:rsidP="00757CC5">
      <w:pPr>
        <w:spacing w:before="120"/>
        <w:rPr>
          <w:rFonts w:ascii="Arial" w:hAnsi="Arial"/>
          <w:b/>
        </w:rPr>
      </w:pPr>
    </w:p>
    <w:p w:rsidR="001F79C5" w:rsidRPr="001F79C5" w:rsidRDefault="00A353EE" w:rsidP="00757CC5">
      <w:pPr>
        <w:spacing w:before="120"/>
        <w:rPr>
          <w:rFonts w:ascii="Arial" w:hAnsi="Arial"/>
          <w:b/>
        </w:rPr>
      </w:pPr>
      <w:r>
        <w:rPr>
          <w:rFonts w:ascii="Arial" w:hAnsi="Arial"/>
          <w:b/>
        </w:rPr>
        <w:t>E6</w:t>
      </w:r>
      <w:r w:rsidR="008443B7">
        <w:rPr>
          <w:rFonts w:ascii="Arial" w:hAnsi="Arial"/>
          <w:b/>
        </w:rPr>
        <w:t>SC</w:t>
      </w:r>
    </w:p>
    <w:p w:rsidR="001F79C5" w:rsidRDefault="00A353EE" w:rsidP="00757CC5">
      <w:pPr>
        <w:spacing w:before="120"/>
        <w:rPr>
          <w:rFonts w:ascii="Arial" w:hAnsi="Arial"/>
        </w:rPr>
      </w:pPr>
      <w:r>
        <w:rPr>
          <w:rFonts w:ascii="Arial" w:hAnsi="Arial"/>
        </w:rPr>
        <w:t>E6SC is a pu</w:t>
      </w:r>
      <w:r w:rsidR="00D65900">
        <w:rPr>
          <w:rFonts w:ascii="Arial" w:hAnsi="Arial"/>
        </w:rPr>
        <w:t>pil recorded on the January 2017</w:t>
      </w:r>
      <w:r>
        <w:rPr>
          <w:rFonts w:ascii="Arial" w:hAnsi="Arial"/>
        </w:rPr>
        <w:t xml:space="preserve"> census </w:t>
      </w:r>
      <w:r w:rsidR="00506240">
        <w:rPr>
          <w:rFonts w:ascii="Arial" w:hAnsi="Arial"/>
        </w:rPr>
        <w:t>who was eligible for the service chil</w:t>
      </w:r>
      <w:r w:rsidR="009E363F">
        <w:rPr>
          <w:rFonts w:ascii="Arial" w:hAnsi="Arial"/>
        </w:rPr>
        <w:t>d premium since the January 2012</w:t>
      </w:r>
      <w:r w:rsidR="00506240">
        <w:rPr>
          <w:rFonts w:ascii="Arial" w:hAnsi="Arial"/>
        </w:rPr>
        <w:t xml:space="preserve"> census as well as those recorded as a service child for the first </w:t>
      </w:r>
      <w:r w:rsidR="009E363F">
        <w:rPr>
          <w:rFonts w:ascii="Arial" w:hAnsi="Arial"/>
        </w:rPr>
        <w:t>time on the January 2017</w:t>
      </w:r>
      <w:r w:rsidR="00506240">
        <w:rPr>
          <w:rFonts w:ascii="Arial" w:hAnsi="Arial"/>
        </w:rPr>
        <w:t xml:space="preserve"> school census. Service children will be funded at a rate of </w:t>
      </w:r>
      <w:r w:rsidR="00515F60">
        <w:rPr>
          <w:rFonts w:ascii="Arial" w:hAnsi="Arial"/>
        </w:rPr>
        <w:t xml:space="preserve">£300 per </w:t>
      </w:r>
      <w:r w:rsidR="00EF6AF3">
        <w:rPr>
          <w:rFonts w:ascii="Arial" w:hAnsi="Arial"/>
        </w:rPr>
        <w:t xml:space="preserve">eligible </w:t>
      </w:r>
      <w:r w:rsidR="00515F60">
        <w:rPr>
          <w:rFonts w:ascii="Arial" w:hAnsi="Arial"/>
        </w:rPr>
        <w:t>pupil.</w:t>
      </w:r>
    </w:p>
    <w:p w:rsidR="00354E4B" w:rsidRDefault="00354E4B" w:rsidP="00757CC5">
      <w:pPr>
        <w:spacing w:before="120"/>
        <w:rPr>
          <w:rFonts w:ascii="Arial" w:hAnsi="Arial"/>
          <w:b/>
          <w:u w:val="single"/>
        </w:rPr>
      </w:pPr>
      <w:r>
        <w:rPr>
          <w:rFonts w:ascii="Arial" w:hAnsi="Arial"/>
        </w:rPr>
        <w:t>Indicative budgets hav</w:t>
      </w:r>
      <w:r w:rsidR="00506240">
        <w:rPr>
          <w:rFonts w:ascii="Arial" w:hAnsi="Arial"/>
        </w:rPr>
        <w:t>e been based on the number of E6</w:t>
      </w:r>
      <w:r>
        <w:rPr>
          <w:rFonts w:ascii="Arial" w:hAnsi="Arial"/>
        </w:rPr>
        <w:t>SC recorded on</w:t>
      </w:r>
      <w:r w:rsidR="009E363F">
        <w:rPr>
          <w:rFonts w:ascii="Arial" w:hAnsi="Arial"/>
        </w:rPr>
        <w:t xml:space="preserve"> roll in the school for 2016-17</w:t>
      </w:r>
      <w:r>
        <w:rPr>
          <w:rFonts w:ascii="Arial" w:hAnsi="Arial"/>
        </w:rPr>
        <w:t xml:space="preserve">. </w:t>
      </w:r>
      <w:r w:rsidR="00EF6AF3">
        <w:rPr>
          <w:rFonts w:ascii="Arial" w:hAnsi="Arial"/>
        </w:rPr>
        <w:t xml:space="preserve"> </w:t>
      </w:r>
      <w:r>
        <w:rPr>
          <w:rFonts w:ascii="Arial" w:hAnsi="Arial"/>
        </w:rPr>
        <w:t>An adjustment to the indicative budget will be made on confirmation of numbers from the DfE</w:t>
      </w:r>
      <w:r w:rsidR="00DB5143">
        <w:rPr>
          <w:rFonts w:ascii="Arial" w:hAnsi="Arial"/>
        </w:rPr>
        <w:t>,</w:t>
      </w:r>
      <w:r>
        <w:rPr>
          <w:rFonts w:ascii="Arial" w:hAnsi="Arial"/>
        </w:rPr>
        <w:t xml:space="preserve"> which is expected </w:t>
      </w:r>
      <w:r w:rsidR="008849C0">
        <w:rPr>
          <w:rFonts w:ascii="Arial" w:hAnsi="Arial"/>
        </w:rPr>
        <w:t xml:space="preserve">late in the </w:t>
      </w:r>
      <w:r w:rsidR="00D70630">
        <w:rPr>
          <w:rFonts w:ascii="Arial" w:hAnsi="Arial"/>
        </w:rPr>
        <w:t>summer</w:t>
      </w:r>
      <w:r w:rsidR="00D00D86">
        <w:rPr>
          <w:rFonts w:ascii="Arial" w:hAnsi="Arial"/>
        </w:rPr>
        <w:t xml:space="preserve"> and</w:t>
      </w:r>
      <w:r w:rsidR="00D00D86" w:rsidRPr="00D00D86">
        <w:rPr>
          <w:rFonts w:ascii="Arial" w:hAnsi="Arial"/>
        </w:rPr>
        <w:t xml:space="preserve"> </w:t>
      </w:r>
      <w:r w:rsidR="00D00D86">
        <w:rPr>
          <w:rFonts w:ascii="Arial" w:hAnsi="Arial"/>
        </w:rPr>
        <w:t>in light of this provisionally only the first three months (April to June) will be profiled on your schools advance</w:t>
      </w:r>
      <w:r>
        <w:rPr>
          <w:rFonts w:ascii="Arial" w:hAnsi="Arial"/>
        </w:rPr>
        <w:t>.</w:t>
      </w:r>
      <w:r w:rsidR="00FC5C1A" w:rsidRPr="00FC5C1A">
        <w:rPr>
          <w:rFonts w:ascii="Arial" w:hAnsi="Arial"/>
          <w:b/>
          <w:u w:val="single"/>
        </w:rPr>
        <w:t xml:space="preserve"> </w:t>
      </w:r>
      <w:r w:rsidR="00FC5C1A" w:rsidRPr="00F91B81">
        <w:rPr>
          <w:rFonts w:ascii="Arial" w:hAnsi="Arial"/>
          <w:b/>
          <w:u w:val="single"/>
        </w:rPr>
        <w:t>It is important for schools to note that for initial budgeting purposes</w:t>
      </w:r>
      <w:r w:rsidR="00FC5C1A">
        <w:rPr>
          <w:rFonts w:ascii="Arial" w:hAnsi="Arial"/>
          <w:b/>
          <w:u w:val="single"/>
        </w:rPr>
        <w:t>,</w:t>
      </w:r>
      <w:r w:rsidR="00FC5C1A" w:rsidRPr="00F91B81">
        <w:rPr>
          <w:rFonts w:ascii="Arial" w:hAnsi="Arial"/>
          <w:b/>
          <w:u w:val="single"/>
        </w:rPr>
        <w:t xml:space="preserve"> schools should use</w:t>
      </w:r>
      <w:r w:rsidR="00FC5C1A">
        <w:rPr>
          <w:rFonts w:ascii="Arial" w:hAnsi="Arial"/>
          <w:b/>
          <w:u w:val="single"/>
        </w:rPr>
        <w:t xml:space="preserve"> their</w:t>
      </w:r>
      <w:r w:rsidR="00FC5C1A" w:rsidRPr="00F91B81">
        <w:rPr>
          <w:rFonts w:ascii="Arial" w:hAnsi="Arial"/>
          <w:b/>
          <w:u w:val="single"/>
        </w:rPr>
        <w:t xml:space="preserve"> local records to estimate the number of eligible </w:t>
      </w:r>
      <w:r w:rsidR="00506240">
        <w:rPr>
          <w:rFonts w:ascii="Arial" w:hAnsi="Arial"/>
          <w:b/>
          <w:u w:val="single"/>
        </w:rPr>
        <w:t>E6</w:t>
      </w:r>
      <w:r w:rsidR="008443B7">
        <w:rPr>
          <w:rFonts w:ascii="Arial" w:hAnsi="Arial"/>
          <w:b/>
          <w:u w:val="single"/>
        </w:rPr>
        <w:t>SC</w:t>
      </w:r>
      <w:r w:rsidR="00FC5C1A">
        <w:rPr>
          <w:rFonts w:ascii="Arial" w:hAnsi="Arial"/>
          <w:b/>
          <w:u w:val="single"/>
        </w:rPr>
        <w:t xml:space="preserve"> </w:t>
      </w:r>
      <w:r w:rsidR="009E363F">
        <w:rPr>
          <w:rFonts w:ascii="Arial" w:hAnsi="Arial"/>
          <w:b/>
          <w:u w:val="single"/>
        </w:rPr>
        <w:t>for the period April 2017 to March 2018</w:t>
      </w:r>
    </w:p>
    <w:p w:rsidR="00506240" w:rsidRDefault="00506240" w:rsidP="00506240">
      <w:pPr>
        <w:spacing w:before="120"/>
        <w:rPr>
          <w:rFonts w:ascii="Arial" w:hAnsi="Arial"/>
        </w:rPr>
      </w:pPr>
      <w:r>
        <w:rPr>
          <w:rFonts w:ascii="Arial" w:hAnsi="Arial"/>
        </w:rPr>
        <w:t>To date we have no information from the DfE reg</w:t>
      </w:r>
      <w:r w:rsidR="009E363F">
        <w:rPr>
          <w:rFonts w:ascii="Arial" w:hAnsi="Arial"/>
        </w:rPr>
        <w:t>arding PP funding rates for 2018-19</w:t>
      </w:r>
      <w:r>
        <w:rPr>
          <w:rFonts w:ascii="Arial" w:hAnsi="Arial"/>
        </w:rPr>
        <w:t xml:space="preserve">, therefore for the purpose of estimating future years’ budgets we have assumed that the funding rates will be maintained at </w:t>
      </w:r>
      <w:r w:rsidR="009E363F">
        <w:rPr>
          <w:rFonts w:ascii="Arial" w:hAnsi="Arial"/>
        </w:rPr>
        <w:t>the 2017-18</w:t>
      </w:r>
      <w:r w:rsidRPr="00F63B9E">
        <w:rPr>
          <w:rFonts w:ascii="Arial" w:hAnsi="Arial"/>
        </w:rPr>
        <w:t xml:space="preserve"> levels</w:t>
      </w:r>
      <w:r>
        <w:rPr>
          <w:rFonts w:ascii="Arial" w:hAnsi="Arial"/>
        </w:rPr>
        <w:t>.</w:t>
      </w:r>
    </w:p>
    <w:p w:rsidR="00354E4B" w:rsidRDefault="00354E4B" w:rsidP="00757CC5">
      <w:pPr>
        <w:spacing w:before="120"/>
        <w:rPr>
          <w:rFonts w:ascii="Arial" w:hAnsi="Arial"/>
        </w:rPr>
      </w:pPr>
    </w:p>
    <w:p w:rsidR="005B17FD" w:rsidRDefault="008443B7" w:rsidP="00757CC5">
      <w:pPr>
        <w:spacing w:before="120"/>
        <w:rPr>
          <w:rFonts w:ascii="Arial" w:hAnsi="Arial"/>
          <w:b/>
        </w:rPr>
      </w:pPr>
      <w:r>
        <w:rPr>
          <w:rFonts w:ascii="Arial" w:hAnsi="Arial"/>
          <w:b/>
        </w:rPr>
        <w:t>PLAC</w:t>
      </w:r>
    </w:p>
    <w:p w:rsidR="00094EE4" w:rsidRDefault="00E66552" w:rsidP="00757CC5">
      <w:pPr>
        <w:spacing w:before="120"/>
        <w:rPr>
          <w:rFonts w:ascii="Arial" w:hAnsi="Arial"/>
        </w:rPr>
      </w:pPr>
      <w:r>
        <w:rPr>
          <w:rFonts w:ascii="Arial" w:hAnsi="Arial"/>
        </w:rPr>
        <w:t>The pupil premium for 2017 to 2018 will include pupils recorded in the Ja</w:t>
      </w:r>
      <w:r w:rsidR="00F44EE9">
        <w:rPr>
          <w:rFonts w:ascii="Arial" w:hAnsi="Arial"/>
        </w:rPr>
        <w:t xml:space="preserve">nuary 2017 school census who were looked after by an English or Welsh local authority immediately before being adopted, or who left local authority care on a special guardianship order or child arrangements order (previously known as a residence order). These are collectively referred to as post-LAC in these conditions. </w:t>
      </w:r>
      <w:r w:rsidR="00D00D86">
        <w:rPr>
          <w:rFonts w:ascii="Arial" w:hAnsi="Arial"/>
        </w:rPr>
        <w:t>The rate of funding for an eligible pupil is £1,900.</w:t>
      </w:r>
    </w:p>
    <w:p w:rsidR="00897115" w:rsidRDefault="00897115" w:rsidP="00974237">
      <w:pPr>
        <w:rPr>
          <w:rFonts w:ascii="Arial" w:hAnsi="Arial"/>
        </w:rPr>
      </w:pPr>
    </w:p>
    <w:p w:rsidR="00354E4B" w:rsidRDefault="00896CB9" w:rsidP="00757CC5">
      <w:pPr>
        <w:spacing w:before="120"/>
        <w:rPr>
          <w:rFonts w:ascii="Arial" w:hAnsi="Arial"/>
        </w:rPr>
      </w:pPr>
      <w:r>
        <w:rPr>
          <w:rFonts w:ascii="Arial" w:hAnsi="Arial"/>
        </w:rPr>
        <w:t xml:space="preserve">We are not including </w:t>
      </w:r>
      <w:r w:rsidR="00F44EE9">
        <w:rPr>
          <w:rFonts w:ascii="Arial" w:hAnsi="Arial"/>
        </w:rPr>
        <w:t>indicative funding based on 2016-17</w:t>
      </w:r>
      <w:r>
        <w:rPr>
          <w:rFonts w:ascii="Arial" w:hAnsi="Arial"/>
        </w:rPr>
        <w:t xml:space="preserve"> data for PLAC PP as the pupil may now not be on the school</w:t>
      </w:r>
      <w:r w:rsidR="00B45A38">
        <w:rPr>
          <w:rFonts w:ascii="Arial" w:hAnsi="Arial"/>
        </w:rPr>
        <w:t>’</w:t>
      </w:r>
      <w:r>
        <w:rPr>
          <w:rFonts w:ascii="Arial" w:hAnsi="Arial"/>
        </w:rPr>
        <w:t>s roll</w:t>
      </w:r>
      <w:r w:rsidR="003107AD">
        <w:rPr>
          <w:rFonts w:ascii="Arial" w:hAnsi="Arial"/>
        </w:rPr>
        <w:t xml:space="preserve"> as </w:t>
      </w:r>
      <w:r w:rsidR="00B45A38">
        <w:rPr>
          <w:rFonts w:ascii="Arial" w:hAnsi="Arial"/>
        </w:rPr>
        <w:t xml:space="preserve">at </w:t>
      </w:r>
      <w:r w:rsidR="00F44EE9">
        <w:rPr>
          <w:rFonts w:ascii="Arial" w:hAnsi="Arial"/>
        </w:rPr>
        <w:t>the January 2017</w:t>
      </w:r>
      <w:r w:rsidR="003107AD">
        <w:rPr>
          <w:rFonts w:ascii="Arial" w:hAnsi="Arial"/>
        </w:rPr>
        <w:t xml:space="preserve"> census</w:t>
      </w:r>
      <w:r>
        <w:rPr>
          <w:rFonts w:ascii="Arial" w:hAnsi="Arial"/>
        </w:rPr>
        <w:t xml:space="preserve">. We anticipate that the DfE will notify the LA </w:t>
      </w:r>
      <w:r w:rsidR="00897115">
        <w:rPr>
          <w:rFonts w:ascii="Arial" w:hAnsi="Arial"/>
        </w:rPr>
        <w:t>of schools</w:t>
      </w:r>
      <w:r w:rsidR="00B45A38">
        <w:rPr>
          <w:rFonts w:ascii="Arial" w:hAnsi="Arial"/>
        </w:rPr>
        <w:t>’</w:t>
      </w:r>
      <w:r>
        <w:rPr>
          <w:rFonts w:ascii="Arial" w:hAnsi="Arial"/>
        </w:rPr>
        <w:t xml:space="preserve"> entitlement to PLAC PP late in the summer</w:t>
      </w:r>
      <w:r w:rsidR="003107AD">
        <w:rPr>
          <w:rFonts w:ascii="Arial" w:hAnsi="Arial"/>
        </w:rPr>
        <w:t xml:space="preserve"> and on receipt of</w:t>
      </w:r>
      <w:r w:rsidR="00897115">
        <w:rPr>
          <w:rFonts w:ascii="Arial" w:hAnsi="Arial"/>
        </w:rPr>
        <w:t xml:space="preserve"> this information we will pass</w:t>
      </w:r>
      <w:r w:rsidR="003107AD">
        <w:rPr>
          <w:rFonts w:ascii="Arial" w:hAnsi="Arial"/>
        </w:rPr>
        <w:t xml:space="preserve"> funding onto the school.</w:t>
      </w:r>
      <w:r w:rsidR="00BE1A26">
        <w:rPr>
          <w:rFonts w:ascii="Arial" w:hAnsi="Arial"/>
        </w:rPr>
        <w:t xml:space="preserve"> </w:t>
      </w:r>
      <w:r w:rsidR="003107AD" w:rsidRPr="00BE1A26">
        <w:rPr>
          <w:rFonts w:ascii="Arial" w:hAnsi="Arial"/>
          <w:b/>
        </w:rPr>
        <w:t xml:space="preserve"> </w:t>
      </w:r>
      <w:r w:rsidR="003107AD" w:rsidRPr="00F91B81">
        <w:rPr>
          <w:rFonts w:ascii="Arial" w:hAnsi="Arial"/>
          <w:b/>
          <w:u w:val="single"/>
        </w:rPr>
        <w:t>It is important for schools to note that for initial budgeting purposes</w:t>
      </w:r>
      <w:r w:rsidR="003107AD">
        <w:rPr>
          <w:rFonts w:ascii="Arial" w:hAnsi="Arial"/>
          <w:b/>
          <w:u w:val="single"/>
        </w:rPr>
        <w:t>,</w:t>
      </w:r>
      <w:r w:rsidR="003107AD" w:rsidRPr="00F91B81">
        <w:rPr>
          <w:rFonts w:ascii="Arial" w:hAnsi="Arial"/>
          <w:b/>
          <w:u w:val="single"/>
        </w:rPr>
        <w:t xml:space="preserve"> schools should use</w:t>
      </w:r>
      <w:r w:rsidR="003107AD">
        <w:rPr>
          <w:rFonts w:ascii="Arial" w:hAnsi="Arial"/>
          <w:b/>
          <w:u w:val="single"/>
        </w:rPr>
        <w:t xml:space="preserve"> their</w:t>
      </w:r>
      <w:r w:rsidR="003107AD" w:rsidRPr="00F91B81">
        <w:rPr>
          <w:rFonts w:ascii="Arial" w:hAnsi="Arial"/>
          <w:b/>
          <w:u w:val="single"/>
        </w:rPr>
        <w:t xml:space="preserve"> local records to estimate the number of eligible </w:t>
      </w:r>
      <w:r w:rsidR="003107AD">
        <w:rPr>
          <w:rFonts w:ascii="Arial" w:hAnsi="Arial"/>
          <w:b/>
          <w:u w:val="single"/>
        </w:rPr>
        <w:t xml:space="preserve">PLAC </w:t>
      </w:r>
      <w:r w:rsidR="00F44EE9">
        <w:rPr>
          <w:rFonts w:ascii="Arial" w:hAnsi="Arial"/>
          <w:b/>
          <w:u w:val="single"/>
        </w:rPr>
        <w:t>for the period April 2017</w:t>
      </w:r>
      <w:r w:rsidR="003107AD" w:rsidRPr="00F91B81">
        <w:rPr>
          <w:rFonts w:ascii="Arial" w:hAnsi="Arial"/>
          <w:b/>
          <w:u w:val="single"/>
        </w:rPr>
        <w:t xml:space="preserve"> to March 201</w:t>
      </w:r>
      <w:r w:rsidR="00F44EE9">
        <w:rPr>
          <w:rFonts w:ascii="Arial" w:hAnsi="Arial"/>
          <w:b/>
          <w:u w:val="single"/>
        </w:rPr>
        <w:t>8</w:t>
      </w:r>
    </w:p>
    <w:p w:rsidR="00605C1B" w:rsidRDefault="00605C1B" w:rsidP="00974237">
      <w:pPr>
        <w:rPr>
          <w:rFonts w:ascii="Arial" w:hAnsi="Arial"/>
        </w:rPr>
      </w:pPr>
    </w:p>
    <w:p w:rsidR="00506240" w:rsidRDefault="00506240" w:rsidP="00506240">
      <w:pPr>
        <w:spacing w:before="120"/>
        <w:rPr>
          <w:rFonts w:ascii="Arial" w:hAnsi="Arial"/>
        </w:rPr>
      </w:pPr>
      <w:bookmarkStart w:id="9" w:name="SectionCFSMIAP"/>
      <w:r>
        <w:rPr>
          <w:rFonts w:ascii="Arial" w:hAnsi="Arial"/>
        </w:rPr>
        <w:t>To date we have no information from the DfE reg</w:t>
      </w:r>
      <w:r w:rsidR="00F44EE9">
        <w:rPr>
          <w:rFonts w:ascii="Arial" w:hAnsi="Arial"/>
        </w:rPr>
        <w:t>arding PP funding rates for 2018-19</w:t>
      </w:r>
      <w:r>
        <w:rPr>
          <w:rFonts w:ascii="Arial" w:hAnsi="Arial"/>
        </w:rPr>
        <w:t xml:space="preserve">, therefore for the purpose of estimating future years’ budgets we have assumed that the funding rates will be maintained at </w:t>
      </w:r>
      <w:r w:rsidR="00F44EE9">
        <w:rPr>
          <w:rFonts w:ascii="Arial" w:hAnsi="Arial"/>
        </w:rPr>
        <w:t xml:space="preserve">the 2017-18 </w:t>
      </w:r>
      <w:r w:rsidRPr="00F63B9E">
        <w:rPr>
          <w:rFonts w:ascii="Arial" w:hAnsi="Arial"/>
        </w:rPr>
        <w:t>levels</w:t>
      </w:r>
      <w:r>
        <w:rPr>
          <w:rFonts w:ascii="Arial" w:hAnsi="Arial"/>
        </w:rPr>
        <w:t>.</w:t>
      </w:r>
    </w:p>
    <w:p w:rsidR="00CC0524" w:rsidRPr="00262705" w:rsidRDefault="00BE1A26" w:rsidP="00354E4B">
      <w:pPr>
        <w:spacing w:before="120"/>
        <w:rPr>
          <w:rFonts w:ascii="Arial" w:hAnsi="Arial"/>
        </w:rPr>
      </w:pPr>
      <w:r>
        <w:rPr>
          <w:rFonts w:ascii="Arial" w:hAnsi="Arial"/>
        </w:rPr>
        <w:t>The DfE</w:t>
      </w:r>
      <w:r w:rsidR="00262705">
        <w:rPr>
          <w:rFonts w:ascii="Arial" w:hAnsi="Arial"/>
        </w:rPr>
        <w:t xml:space="preserve"> condi</w:t>
      </w:r>
      <w:r w:rsidR="00F44EE9">
        <w:rPr>
          <w:rFonts w:ascii="Arial" w:hAnsi="Arial"/>
        </w:rPr>
        <w:t xml:space="preserve">tions of </w:t>
      </w:r>
      <w:r>
        <w:rPr>
          <w:rFonts w:ascii="Arial" w:hAnsi="Arial"/>
        </w:rPr>
        <w:t>g</w:t>
      </w:r>
      <w:r w:rsidR="00F44EE9">
        <w:rPr>
          <w:rFonts w:ascii="Arial" w:hAnsi="Arial"/>
        </w:rPr>
        <w:t>rant guidance for 2017-18</w:t>
      </w:r>
      <w:r w:rsidR="00262705">
        <w:rPr>
          <w:rFonts w:ascii="Arial" w:hAnsi="Arial"/>
        </w:rPr>
        <w:t xml:space="preserve"> can be accessed using this link</w:t>
      </w:r>
      <w:r>
        <w:rPr>
          <w:rFonts w:ascii="Arial" w:hAnsi="Arial"/>
        </w:rPr>
        <w:t>:</w:t>
      </w:r>
      <w:r w:rsidR="00262705">
        <w:rPr>
          <w:rFonts w:ascii="Arial" w:hAnsi="Arial"/>
        </w:rPr>
        <w:t xml:space="preserve"> </w:t>
      </w:r>
      <w:hyperlink r:id="rId25" w:history="1">
        <w:r>
          <w:rPr>
            <w:rStyle w:val="Hyperlink"/>
            <w:rFonts w:ascii="Arial" w:hAnsi="Arial"/>
          </w:rPr>
          <w:t>Conditions of Grant guidance</w:t>
        </w:r>
      </w:hyperlink>
    </w:p>
    <w:p w:rsidR="001662DC" w:rsidRDefault="001662DC" w:rsidP="00354E4B">
      <w:pPr>
        <w:spacing w:before="120"/>
        <w:rPr>
          <w:rFonts w:ascii="Arial" w:hAnsi="Arial"/>
          <w:b/>
          <w:u w:val="single"/>
        </w:rPr>
      </w:pPr>
    </w:p>
    <w:p w:rsidR="00354E4B" w:rsidRPr="003719F3" w:rsidRDefault="002D109E" w:rsidP="00354E4B">
      <w:pPr>
        <w:spacing w:before="120"/>
        <w:rPr>
          <w:rFonts w:ascii="Arial" w:hAnsi="Arial"/>
          <w:b/>
          <w:u w:val="single"/>
        </w:rPr>
      </w:pPr>
      <w:bookmarkStart w:id="10" w:name="SectionCUIFSM"/>
      <w:bookmarkEnd w:id="9"/>
      <w:r>
        <w:rPr>
          <w:rFonts w:ascii="Arial" w:hAnsi="Arial"/>
          <w:b/>
          <w:u w:val="single"/>
        </w:rPr>
        <w:t>Universal Infant Free School Meals (UIFSM)</w:t>
      </w:r>
    </w:p>
    <w:bookmarkEnd w:id="10"/>
    <w:p w:rsidR="00237A69" w:rsidRDefault="009D7579" w:rsidP="00D918C0">
      <w:pPr>
        <w:spacing w:before="120"/>
        <w:rPr>
          <w:rFonts w:ascii="Arial" w:hAnsi="Arial"/>
        </w:rPr>
      </w:pPr>
      <w:r>
        <w:rPr>
          <w:rFonts w:ascii="Arial" w:hAnsi="Arial"/>
        </w:rPr>
        <w:t>Academic year 2016-17</w:t>
      </w:r>
      <w:r w:rsidR="00237A69">
        <w:rPr>
          <w:rFonts w:ascii="Arial" w:hAnsi="Arial"/>
        </w:rPr>
        <w:t xml:space="preserve"> is the </w:t>
      </w:r>
      <w:r>
        <w:rPr>
          <w:rFonts w:ascii="Arial" w:hAnsi="Arial"/>
        </w:rPr>
        <w:t>third</w:t>
      </w:r>
      <w:r w:rsidR="00237A69">
        <w:rPr>
          <w:rFonts w:ascii="Arial" w:hAnsi="Arial"/>
        </w:rPr>
        <w:t xml:space="preserve"> year of UIFSMs. The </w:t>
      </w:r>
      <w:r w:rsidR="00DB5143">
        <w:rPr>
          <w:rFonts w:ascii="Arial" w:hAnsi="Arial"/>
        </w:rPr>
        <w:t>Education Funding Agency (</w:t>
      </w:r>
      <w:r w:rsidR="00237A69">
        <w:rPr>
          <w:rFonts w:ascii="Arial" w:hAnsi="Arial"/>
        </w:rPr>
        <w:t>EFA</w:t>
      </w:r>
      <w:r w:rsidR="00DB5143">
        <w:rPr>
          <w:rFonts w:ascii="Arial" w:hAnsi="Arial"/>
        </w:rPr>
        <w:t>)</w:t>
      </w:r>
      <w:r w:rsidR="00237A69">
        <w:rPr>
          <w:rFonts w:ascii="Arial" w:hAnsi="Arial"/>
        </w:rPr>
        <w:t xml:space="preserve"> ha</w:t>
      </w:r>
      <w:r w:rsidR="00D70630">
        <w:rPr>
          <w:rFonts w:ascii="Arial" w:hAnsi="Arial"/>
        </w:rPr>
        <w:t>s</w:t>
      </w:r>
      <w:r w:rsidR="00237A69">
        <w:rPr>
          <w:rFonts w:ascii="Arial" w:hAnsi="Arial"/>
        </w:rPr>
        <w:t xml:space="preserve"> confirmed that this grant will continue </w:t>
      </w:r>
      <w:r w:rsidR="008B55F3">
        <w:rPr>
          <w:rFonts w:ascii="Arial" w:hAnsi="Arial"/>
        </w:rPr>
        <w:t>until the end of</w:t>
      </w:r>
      <w:r w:rsidR="00237A69">
        <w:rPr>
          <w:rFonts w:ascii="Arial" w:hAnsi="Arial"/>
        </w:rPr>
        <w:t xml:space="preserve"> this </w:t>
      </w:r>
      <w:r w:rsidR="008B55F3">
        <w:rPr>
          <w:rFonts w:ascii="Arial" w:hAnsi="Arial"/>
        </w:rPr>
        <w:t>P</w:t>
      </w:r>
      <w:r w:rsidR="000742C0">
        <w:rPr>
          <w:rFonts w:ascii="Arial" w:hAnsi="Arial"/>
        </w:rPr>
        <w:t>arliament;</w:t>
      </w:r>
      <w:r w:rsidR="00237A69">
        <w:rPr>
          <w:rFonts w:ascii="Arial" w:hAnsi="Arial"/>
        </w:rPr>
        <w:t xml:space="preserve"> however </w:t>
      </w:r>
      <w:r w:rsidR="008B55F3">
        <w:rPr>
          <w:rFonts w:ascii="Arial" w:hAnsi="Arial"/>
        </w:rPr>
        <w:t xml:space="preserve">currently </w:t>
      </w:r>
      <w:r w:rsidR="00237A69">
        <w:rPr>
          <w:rFonts w:ascii="Arial" w:hAnsi="Arial"/>
        </w:rPr>
        <w:t>no funding guidance has been issue</w:t>
      </w:r>
      <w:r w:rsidR="00F432AC">
        <w:rPr>
          <w:rFonts w:ascii="Arial" w:hAnsi="Arial"/>
        </w:rPr>
        <w:t>d for</w:t>
      </w:r>
      <w:r>
        <w:rPr>
          <w:rFonts w:ascii="Arial" w:hAnsi="Arial"/>
        </w:rPr>
        <w:t xml:space="preserve"> the academic year 2017-18</w:t>
      </w:r>
      <w:r w:rsidR="00237A69">
        <w:rPr>
          <w:rFonts w:ascii="Arial" w:hAnsi="Arial"/>
        </w:rPr>
        <w:t xml:space="preserve">. </w:t>
      </w:r>
      <w:r w:rsidR="00D70630">
        <w:rPr>
          <w:rFonts w:ascii="Arial" w:hAnsi="Arial"/>
        </w:rPr>
        <w:t xml:space="preserve"> </w:t>
      </w:r>
      <w:r w:rsidR="00237A69">
        <w:rPr>
          <w:rFonts w:ascii="Arial" w:hAnsi="Arial"/>
        </w:rPr>
        <w:t>On the bases that the underlying methodology for calculating the grant will continue, we are</w:t>
      </w:r>
      <w:r w:rsidR="00F432AC">
        <w:rPr>
          <w:rFonts w:ascii="Arial" w:hAnsi="Arial"/>
        </w:rPr>
        <w:t xml:space="preserve"> advising schools to</w:t>
      </w:r>
      <w:r w:rsidR="00237A69">
        <w:rPr>
          <w:rFonts w:ascii="Arial" w:hAnsi="Arial"/>
        </w:rPr>
        <w:t xml:space="preserve"> bas</w:t>
      </w:r>
      <w:r w:rsidR="00F432AC">
        <w:rPr>
          <w:rFonts w:ascii="Arial" w:hAnsi="Arial"/>
        </w:rPr>
        <w:t xml:space="preserve">e </w:t>
      </w:r>
      <w:r w:rsidR="00237A69">
        <w:rPr>
          <w:rFonts w:ascii="Arial" w:hAnsi="Arial"/>
        </w:rPr>
        <w:t xml:space="preserve">future </w:t>
      </w:r>
      <w:r w:rsidR="00F432AC">
        <w:rPr>
          <w:rFonts w:ascii="Arial" w:hAnsi="Arial"/>
        </w:rPr>
        <w:t xml:space="preserve">funding </w:t>
      </w:r>
      <w:r w:rsidR="000742C0">
        <w:rPr>
          <w:rFonts w:ascii="Arial" w:hAnsi="Arial"/>
        </w:rPr>
        <w:t xml:space="preserve">forecasts </w:t>
      </w:r>
      <w:r w:rsidR="00F432AC">
        <w:rPr>
          <w:rFonts w:ascii="Arial" w:hAnsi="Arial"/>
        </w:rPr>
        <w:t>on the</w:t>
      </w:r>
      <w:r>
        <w:rPr>
          <w:rFonts w:ascii="Arial" w:hAnsi="Arial"/>
        </w:rPr>
        <w:t xml:space="preserve"> underlying calculation for 2016-17</w:t>
      </w:r>
      <w:r w:rsidR="00E707FF">
        <w:rPr>
          <w:rFonts w:ascii="Arial" w:hAnsi="Arial"/>
        </w:rPr>
        <w:t xml:space="preserve"> and adjusting</w:t>
      </w:r>
      <w:r w:rsidR="006A0B6D">
        <w:rPr>
          <w:rFonts w:ascii="Arial" w:hAnsi="Arial"/>
        </w:rPr>
        <w:t xml:space="preserve"> for change in eligible pupil numbers.</w:t>
      </w:r>
      <w:r>
        <w:rPr>
          <w:rFonts w:ascii="Arial" w:hAnsi="Arial"/>
        </w:rPr>
        <w:t xml:space="preserve"> </w:t>
      </w:r>
      <w:r w:rsidR="00E2431A">
        <w:rPr>
          <w:rFonts w:ascii="Arial" w:hAnsi="Arial"/>
        </w:rPr>
        <w:t>To access guidance click on this link</w:t>
      </w:r>
      <w:r w:rsidR="008B55F3">
        <w:rPr>
          <w:rFonts w:ascii="Arial" w:hAnsi="Arial"/>
        </w:rPr>
        <w:t>:</w:t>
      </w:r>
      <w:r w:rsidR="00E2431A">
        <w:rPr>
          <w:rFonts w:ascii="Arial" w:hAnsi="Arial"/>
        </w:rPr>
        <w:t xml:space="preserve"> </w:t>
      </w:r>
      <w:hyperlink r:id="rId26" w:history="1">
        <w:r w:rsidR="000636C8">
          <w:rPr>
            <w:rStyle w:val="Hyperlink"/>
            <w:rFonts w:ascii="Arial" w:hAnsi="Arial"/>
          </w:rPr>
          <w:t>C</w:t>
        </w:r>
        <w:r w:rsidR="00E2431A" w:rsidRPr="008B55F3">
          <w:rPr>
            <w:rStyle w:val="Hyperlink"/>
            <w:rFonts w:ascii="Arial" w:hAnsi="Arial"/>
          </w:rPr>
          <w:t xml:space="preserve">onditions of </w:t>
        </w:r>
        <w:r w:rsidR="000636C8">
          <w:rPr>
            <w:rStyle w:val="Hyperlink"/>
            <w:rFonts w:ascii="Arial" w:hAnsi="Arial"/>
          </w:rPr>
          <w:t>G</w:t>
        </w:r>
        <w:r w:rsidR="00E2431A" w:rsidRPr="008B55F3">
          <w:rPr>
            <w:rStyle w:val="Hyperlink"/>
            <w:rFonts w:ascii="Arial" w:hAnsi="Arial"/>
          </w:rPr>
          <w:t>rant guidance</w:t>
        </w:r>
      </w:hyperlink>
      <w:r w:rsidR="00E2431A" w:rsidRPr="008B55F3">
        <w:rPr>
          <w:rFonts w:ascii="Arial" w:hAnsi="Arial"/>
        </w:rPr>
        <w:t>.</w:t>
      </w:r>
    </w:p>
    <w:p w:rsidR="00237A69" w:rsidRDefault="00237A69" w:rsidP="00D918C0">
      <w:pPr>
        <w:spacing w:before="120"/>
        <w:rPr>
          <w:rFonts w:ascii="Arial" w:hAnsi="Arial"/>
        </w:rPr>
      </w:pPr>
    </w:p>
    <w:p w:rsidR="00D918C0" w:rsidRPr="00D463FA" w:rsidRDefault="00F479DA" w:rsidP="00D918C0">
      <w:pPr>
        <w:spacing w:before="120"/>
        <w:rPr>
          <w:rFonts w:ascii="Arial" w:hAnsi="Arial"/>
          <w:b/>
          <w:u w:val="single"/>
        </w:rPr>
      </w:pPr>
      <w:bookmarkStart w:id="11" w:name="SectionCYr7CUp"/>
      <w:r w:rsidRPr="00D463FA">
        <w:rPr>
          <w:rFonts w:ascii="Arial" w:hAnsi="Arial"/>
          <w:b/>
          <w:u w:val="single"/>
        </w:rPr>
        <w:t>Year 7 Catch Up</w:t>
      </w:r>
      <w:r w:rsidR="00804280" w:rsidRPr="00D463FA">
        <w:rPr>
          <w:rFonts w:ascii="Arial" w:hAnsi="Arial"/>
          <w:b/>
          <w:u w:val="single"/>
        </w:rPr>
        <w:t xml:space="preserve"> </w:t>
      </w:r>
      <w:r w:rsidR="009D7579">
        <w:rPr>
          <w:rFonts w:ascii="Arial" w:hAnsi="Arial"/>
          <w:b/>
          <w:u w:val="single"/>
        </w:rPr>
        <w:t>2016-17</w:t>
      </w:r>
      <w:r w:rsidR="002F2752">
        <w:rPr>
          <w:rFonts w:ascii="Arial" w:hAnsi="Arial"/>
          <w:b/>
          <w:u w:val="single"/>
        </w:rPr>
        <w:t xml:space="preserve"> (Academic Year)</w:t>
      </w:r>
    </w:p>
    <w:bookmarkEnd w:id="11"/>
    <w:p w:rsidR="0063050A" w:rsidRDefault="00543049" w:rsidP="00757CC5">
      <w:pPr>
        <w:spacing w:before="120"/>
        <w:rPr>
          <w:rFonts w:ascii="Arial" w:hAnsi="Arial"/>
        </w:rPr>
      </w:pPr>
      <w:r w:rsidRPr="00543049">
        <w:rPr>
          <w:rFonts w:ascii="Arial" w:hAnsi="Arial"/>
        </w:rPr>
        <w:t xml:space="preserve">Schools will receive £500 for each pupil in year 7 who did not achieve at least level 4 in reading or maths at the end of KS2. LAs </w:t>
      </w:r>
      <w:r w:rsidR="00E707FF">
        <w:rPr>
          <w:rFonts w:ascii="Arial" w:hAnsi="Arial"/>
        </w:rPr>
        <w:t>are expecting to receive confirmation of the grant at the beginning of March</w:t>
      </w:r>
      <w:r w:rsidRPr="00543049">
        <w:rPr>
          <w:rFonts w:ascii="Arial" w:hAnsi="Arial"/>
        </w:rPr>
        <w:t xml:space="preserve">. Allocations and conditions of grant will </w:t>
      </w:r>
      <w:r w:rsidR="009A4A99">
        <w:rPr>
          <w:rFonts w:ascii="Arial" w:hAnsi="Arial"/>
        </w:rPr>
        <w:t xml:space="preserve">subsequently </w:t>
      </w:r>
      <w:r w:rsidRPr="00543049">
        <w:rPr>
          <w:rFonts w:ascii="Arial" w:hAnsi="Arial"/>
        </w:rPr>
        <w:t xml:space="preserve">be published on KELSI in March and payments for Year 7 Catch will be included in </w:t>
      </w:r>
      <w:r w:rsidR="009A4A99" w:rsidRPr="00543049">
        <w:rPr>
          <w:rFonts w:ascii="Arial" w:hAnsi="Arial"/>
        </w:rPr>
        <w:t>March’s</w:t>
      </w:r>
      <w:r w:rsidRPr="00543049">
        <w:rPr>
          <w:rFonts w:ascii="Arial" w:hAnsi="Arial"/>
        </w:rPr>
        <w:t xml:space="preserve"> schools advance. To date we have not had confirmation from the EFA </w:t>
      </w:r>
      <w:r w:rsidR="009A4A99">
        <w:rPr>
          <w:rFonts w:ascii="Arial" w:hAnsi="Arial"/>
        </w:rPr>
        <w:t>in respec</w:t>
      </w:r>
      <w:r w:rsidR="00E707FF">
        <w:rPr>
          <w:rFonts w:ascii="Arial" w:hAnsi="Arial"/>
        </w:rPr>
        <w:t>t of future allocations for 2017-18</w:t>
      </w:r>
      <w:r w:rsidR="009A4A99">
        <w:rPr>
          <w:rFonts w:ascii="Arial" w:hAnsi="Arial"/>
        </w:rPr>
        <w:t xml:space="preserve"> and beyond. On receipt of any future information, school</w:t>
      </w:r>
      <w:r w:rsidR="0012163E">
        <w:rPr>
          <w:rFonts w:ascii="Arial" w:hAnsi="Arial"/>
        </w:rPr>
        <w:t>s</w:t>
      </w:r>
      <w:r w:rsidR="009A4A99">
        <w:rPr>
          <w:rFonts w:ascii="Arial" w:hAnsi="Arial"/>
        </w:rPr>
        <w:t xml:space="preserve"> will be update</w:t>
      </w:r>
      <w:r w:rsidR="00CD574B">
        <w:rPr>
          <w:rFonts w:ascii="Arial" w:hAnsi="Arial"/>
        </w:rPr>
        <w:t>d</w:t>
      </w:r>
      <w:r w:rsidR="009A4A99">
        <w:rPr>
          <w:rFonts w:ascii="Arial" w:hAnsi="Arial"/>
        </w:rPr>
        <w:t xml:space="preserve"> in due course.</w:t>
      </w:r>
    </w:p>
    <w:p w:rsidR="0063050A" w:rsidRDefault="0063050A" w:rsidP="00757CC5">
      <w:pPr>
        <w:spacing w:before="120"/>
        <w:rPr>
          <w:rFonts w:ascii="Arial" w:hAnsi="Arial"/>
        </w:rPr>
      </w:pPr>
    </w:p>
    <w:p w:rsidR="0063050A" w:rsidRPr="005B17FD" w:rsidRDefault="0063050A" w:rsidP="00757CC5">
      <w:pPr>
        <w:spacing w:before="120"/>
        <w:rPr>
          <w:rFonts w:ascii="Arial" w:hAnsi="Arial"/>
          <w:b/>
          <w:u w:val="single"/>
        </w:rPr>
      </w:pPr>
      <w:bookmarkStart w:id="12" w:name="SectionPEGrant"/>
      <w:r w:rsidRPr="005B17FD">
        <w:rPr>
          <w:rFonts w:ascii="Arial" w:hAnsi="Arial"/>
          <w:b/>
          <w:u w:val="single"/>
        </w:rPr>
        <w:t xml:space="preserve">Primary PE and Sport Premium Grant </w:t>
      </w:r>
    </w:p>
    <w:bookmarkEnd w:id="12"/>
    <w:p w:rsidR="0019076B" w:rsidRDefault="0063050A" w:rsidP="00757CC5">
      <w:pPr>
        <w:spacing w:before="120"/>
        <w:rPr>
          <w:rFonts w:ascii="Arial" w:hAnsi="Arial"/>
        </w:rPr>
      </w:pPr>
      <w:r>
        <w:rPr>
          <w:rFonts w:ascii="Arial" w:hAnsi="Arial"/>
        </w:rPr>
        <w:t>Schools received their fundi</w:t>
      </w:r>
      <w:r w:rsidR="00E707FF">
        <w:rPr>
          <w:rFonts w:ascii="Arial" w:hAnsi="Arial"/>
        </w:rPr>
        <w:t>ng for the period September 2016</w:t>
      </w:r>
      <w:r>
        <w:rPr>
          <w:rFonts w:ascii="Arial" w:hAnsi="Arial"/>
        </w:rPr>
        <w:t xml:space="preserve"> to Marc</w:t>
      </w:r>
      <w:r w:rsidR="00E707FF">
        <w:rPr>
          <w:rFonts w:ascii="Arial" w:hAnsi="Arial"/>
        </w:rPr>
        <w:t>h 2017</w:t>
      </w:r>
      <w:r>
        <w:rPr>
          <w:rFonts w:ascii="Arial" w:hAnsi="Arial"/>
        </w:rPr>
        <w:t xml:space="preserve"> in November</w:t>
      </w:r>
      <w:r w:rsidR="00E707FF">
        <w:rPr>
          <w:rFonts w:ascii="Arial" w:hAnsi="Arial"/>
        </w:rPr>
        <w:t xml:space="preserve"> 2016</w:t>
      </w:r>
      <w:r>
        <w:rPr>
          <w:rFonts w:ascii="Arial" w:hAnsi="Arial"/>
        </w:rPr>
        <w:t>. The final p</w:t>
      </w:r>
      <w:r w:rsidR="00804280">
        <w:rPr>
          <w:rFonts w:ascii="Arial" w:hAnsi="Arial"/>
        </w:rPr>
        <w:t xml:space="preserve">ayment for the </w:t>
      </w:r>
      <w:r w:rsidR="00E707FF">
        <w:rPr>
          <w:rFonts w:ascii="Arial" w:hAnsi="Arial"/>
        </w:rPr>
        <w:t>period April 2017 to August 2017</w:t>
      </w:r>
      <w:r>
        <w:rPr>
          <w:rFonts w:ascii="Arial" w:hAnsi="Arial"/>
        </w:rPr>
        <w:t xml:space="preserve"> will be made to schools in </w:t>
      </w:r>
      <w:r w:rsidR="00E707FF">
        <w:rPr>
          <w:rFonts w:ascii="Arial" w:hAnsi="Arial"/>
        </w:rPr>
        <w:t>May 2017</w:t>
      </w:r>
      <w:r w:rsidR="0019076B">
        <w:rPr>
          <w:rFonts w:ascii="Arial" w:hAnsi="Arial"/>
        </w:rPr>
        <w:t xml:space="preserve">. </w:t>
      </w:r>
      <w:r w:rsidR="00E743EF">
        <w:rPr>
          <w:rFonts w:ascii="Arial" w:hAnsi="Arial"/>
        </w:rPr>
        <w:t xml:space="preserve">For </w:t>
      </w:r>
      <w:r w:rsidR="0019076B">
        <w:rPr>
          <w:rFonts w:ascii="Arial" w:hAnsi="Arial"/>
        </w:rPr>
        <w:t>details of the grant allocation click on this link</w:t>
      </w:r>
      <w:r w:rsidR="00126628">
        <w:rPr>
          <w:rFonts w:ascii="Arial" w:hAnsi="Arial"/>
        </w:rPr>
        <w:t>:</w:t>
      </w:r>
      <w:r w:rsidR="0019076B">
        <w:rPr>
          <w:rFonts w:ascii="Arial" w:hAnsi="Arial"/>
        </w:rPr>
        <w:t xml:space="preserve"> </w:t>
      </w:r>
      <w:hyperlink r:id="rId27" w:history="1">
        <w:r w:rsidR="0019076B" w:rsidRPr="00BC1646">
          <w:rPr>
            <w:rStyle w:val="Hyperlink"/>
            <w:rFonts w:ascii="Arial" w:hAnsi="Arial"/>
          </w:rPr>
          <w:t>Primary PE and Sport Premium Grant</w:t>
        </w:r>
      </w:hyperlink>
      <w:r w:rsidR="000636C8">
        <w:rPr>
          <w:rFonts w:ascii="Arial" w:hAnsi="Arial"/>
        </w:rPr>
        <w:t xml:space="preserve"> a</w:t>
      </w:r>
      <w:r w:rsidR="00E707FF">
        <w:rPr>
          <w:rFonts w:ascii="Arial" w:hAnsi="Arial"/>
        </w:rPr>
        <w:t xml:space="preserve">nd to access conditions of grant click on this link: </w:t>
      </w:r>
      <w:hyperlink r:id="rId28" w:history="1">
        <w:r w:rsidR="008B55F3" w:rsidRPr="008B55F3">
          <w:rPr>
            <w:rStyle w:val="Hyperlink"/>
            <w:rFonts w:ascii="Arial" w:hAnsi="Arial"/>
          </w:rPr>
          <w:t>Primary PE and Sport Premium Grant 2016-17 (AY)</w:t>
        </w:r>
      </w:hyperlink>
      <w:r w:rsidR="00D70630">
        <w:rPr>
          <w:rFonts w:ascii="Arial" w:hAnsi="Arial"/>
        </w:rPr>
        <w:t>.</w:t>
      </w:r>
    </w:p>
    <w:p w:rsidR="00D70630" w:rsidRDefault="0088219B" w:rsidP="00672205">
      <w:pPr>
        <w:spacing w:before="120"/>
        <w:rPr>
          <w:rFonts w:ascii="Arial" w:hAnsi="Arial"/>
          <w:b/>
        </w:rPr>
      </w:pPr>
      <w:r>
        <w:rPr>
          <w:rFonts w:ascii="Arial" w:hAnsi="Arial"/>
        </w:rPr>
        <w:t>The</w:t>
      </w:r>
      <w:r w:rsidR="0019076B">
        <w:rPr>
          <w:rFonts w:ascii="Arial" w:hAnsi="Arial"/>
        </w:rPr>
        <w:t xml:space="preserve"> DfE </w:t>
      </w:r>
      <w:r>
        <w:rPr>
          <w:rFonts w:ascii="Arial" w:hAnsi="Arial"/>
        </w:rPr>
        <w:t>has committed to continue to fund the Primary PE and Sport premium at £150m a year</w:t>
      </w:r>
      <w:r w:rsidR="00E707FF">
        <w:rPr>
          <w:rFonts w:ascii="Arial" w:hAnsi="Arial"/>
        </w:rPr>
        <w:t xml:space="preserve"> until 2020. </w:t>
      </w:r>
      <w:r w:rsidR="008B55F3">
        <w:rPr>
          <w:rFonts w:ascii="Arial" w:hAnsi="Arial"/>
        </w:rPr>
        <w:t xml:space="preserve"> </w:t>
      </w:r>
      <w:r w:rsidR="00E707FF">
        <w:rPr>
          <w:rFonts w:ascii="Arial" w:hAnsi="Arial"/>
        </w:rPr>
        <w:t>Details of the 2017-18</w:t>
      </w:r>
      <w:r>
        <w:rPr>
          <w:rFonts w:ascii="Arial" w:hAnsi="Arial"/>
        </w:rPr>
        <w:t xml:space="preserve"> academic year </w:t>
      </w:r>
      <w:r w:rsidR="008B55F3">
        <w:rPr>
          <w:rFonts w:ascii="Arial" w:hAnsi="Arial"/>
        </w:rPr>
        <w:t xml:space="preserve">allocations and grant conditions </w:t>
      </w:r>
      <w:r>
        <w:rPr>
          <w:rFonts w:ascii="Arial" w:hAnsi="Arial"/>
        </w:rPr>
        <w:t xml:space="preserve">have not </w:t>
      </w:r>
      <w:r w:rsidR="008B55F3">
        <w:rPr>
          <w:rFonts w:ascii="Arial" w:hAnsi="Arial"/>
        </w:rPr>
        <w:t xml:space="preserve">been </w:t>
      </w:r>
      <w:r>
        <w:rPr>
          <w:rFonts w:ascii="Arial" w:hAnsi="Arial"/>
        </w:rPr>
        <w:t>published</w:t>
      </w:r>
      <w:r w:rsidR="008B55F3">
        <w:rPr>
          <w:rFonts w:ascii="Arial" w:hAnsi="Arial"/>
        </w:rPr>
        <w:t xml:space="preserve"> and we are not expecting them until October 2017.  Therefore t</w:t>
      </w:r>
      <w:r>
        <w:rPr>
          <w:rFonts w:ascii="Arial" w:hAnsi="Arial"/>
        </w:rPr>
        <w:t xml:space="preserve">he LA </w:t>
      </w:r>
      <w:r w:rsidR="008B55F3">
        <w:rPr>
          <w:rFonts w:ascii="Arial" w:hAnsi="Arial"/>
        </w:rPr>
        <w:t xml:space="preserve">is not in a position to confirm </w:t>
      </w:r>
      <w:r>
        <w:rPr>
          <w:rFonts w:ascii="Arial" w:hAnsi="Arial"/>
        </w:rPr>
        <w:t xml:space="preserve">the PE grant </w:t>
      </w:r>
      <w:r w:rsidR="008B55F3">
        <w:rPr>
          <w:rFonts w:ascii="Arial" w:hAnsi="Arial"/>
        </w:rPr>
        <w:t xml:space="preserve">funding rates </w:t>
      </w:r>
      <w:r w:rsidR="00E707FF">
        <w:rPr>
          <w:rFonts w:ascii="Arial" w:hAnsi="Arial"/>
        </w:rPr>
        <w:t xml:space="preserve">until </w:t>
      </w:r>
      <w:r w:rsidR="008B55F3">
        <w:rPr>
          <w:rFonts w:ascii="Arial" w:hAnsi="Arial"/>
        </w:rPr>
        <w:t xml:space="preserve">the DfE </w:t>
      </w:r>
      <w:r w:rsidR="00E707FF">
        <w:rPr>
          <w:rFonts w:ascii="Arial" w:hAnsi="Arial"/>
        </w:rPr>
        <w:t xml:space="preserve">guidance </w:t>
      </w:r>
      <w:r w:rsidR="008B55F3">
        <w:rPr>
          <w:rFonts w:ascii="Arial" w:hAnsi="Arial"/>
        </w:rPr>
        <w:t>is published</w:t>
      </w:r>
      <w:r w:rsidR="00E707FF">
        <w:rPr>
          <w:rFonts w:ascii="Arial" w:hAnsi="Arial"/>
        </w:rPr>
        <w:t>.</w:t>
      </w:r>
      <w:bookmarkStart w:id="13" w:name="SectionD"/>
    </w:p>
    <w:p w:rsidR="00974237" w:rsidRDefault="00974237">
      <w:pPr>
        <w:rPr>
          <w:rFonts w:ascii="Arial" w:hAnsi="Arial"/>
          <w:b/>
        </w:rPr>
      </w:pPr>
      <w:r>
        <w:rPr>
          <w:rFonts w:ascii="Arial" w:hAnsi="Arial"/>
          <w:b/>
        </w:rPr>
        <w:br w:type="page"/>
      </w:r>
    </w:p>
    <w:p w:rsidR="00A37B69" w:rsidRDefault="00A37B69" w:rsidP="00A37B69">
      <w:pPr>
        <w:spacing w:before="120"/>
        <w:jc w:val="center"/>
        <w:rPr>
          <w:rFonts w:ascii="Arial" w:hAnsi="Arial"/>
          <w:b/>
        </w:rPr>
      </w:pPr>
      <w:r w:rsidRPr="00FA510E">
        <w:rPr>
          <w:rFonts w:ascii="Arial" w:hAnsi="Arial"/>
          <w:b/>
        </w:rPr>
        <w:lastRenderedPageBreak/>
        <w:t xml:space="preserve">SECTION </w:t>
      </w:r>
      <w:r w:rsidR="00757CC5">
        <w:rPr>
          <w:rFonts w:ascii="Arial" w:hAnsi="Arial"/>
          <w:b/>
        </w:rPr>
        <w:t>D</w:t>
      </w:r>
      <w:r w:rsidRPr="00FA510E">
        <w:rPr>
          <w:rFonts w:ascii="Arial" w:hAnsi="Arial"/>
          <w:b/>
        </w:rPr>
        <w:t xml:space="preserve"> – </w:t>
      </w:r>
      <w:r w:rsidR="00CB6BB6">
        <w:rPr>
          <w:rFonts w:ascii="Arial" w:hAnsi="Arial"/>
          <w:b/>
        </w:rPr>
        <w:t>PRIMARY AND SECONDARY SCHOOL CHANGES</w:t>
      </w:r>
      <w:bookmarkEnd w:id="13"/>
    </w:p>
    <w:p w:rsidR="00CB6BB6" w:rsidRDefault="00CB6BB6" w:rsidP="00A37B69">
      <w:pPr>
        <w:spacing w:before="120"/>
        <w:jc w:val="center"/>
        <w:rPr>
          <w:rFonts w:ascii="Arial" w:hAnsi="Arial"/>
          <w:b/>
        </w:rPr>
      </w:pPr>
    </w:p>
    <w:p w:rsidR="006B4B9B" w:rsidRDefault="00010A54" w:rsidP="00010A54">
      <w:pPr>
        <w:jc w:val="both"/>
        <w:rPr>
          <w:rFonts w:ascii="Arial" w:hAnsi="Arial"/>
        </w:rPr>
      </w:pPr>
      <w:r>
        <w:rPr>
          <w:rFonts w:ascii="Arial" w:hAnsi="Arial"/>
        </w:rPr>
        <w:t>The</w:t>
      </w:r>
      <w:r w:rsidR="00E2431A" w:rsidRPr="00E743EF">
        <w:rPr>
          <w:rFonts w:ascii="Arial" w:hAnsi="Arial"/>
        </w:rPr>
        <w:t xml:space="preserve"> 201</w:t>
      </w:r>
      <w:r w:rsidR="00D70630">
        <w:rPr>
          <w:rFonts w:ascii="Arial" w:hAnsi="Arial"/>
        </w:rPr>
        <w:t>7</w:t>
      </w:r>
      <w:r w:rsidR="00E2431A" w:rsidRPr="00E743EF">
        <w:rPr>
          <w:rFonts w:ascii="Arial" w:hAnsi="Arial"/>
        </w:rPr>
        <w:t>-1</w:t>
      </w:r>
      <w:r w:rsidR="00D70630">
        <w:rPr>
          <w:rFonts w:ascii="Arial" w:hAnsi="Arial"/>
        </w:rPr>
        <w:t>8</w:t>
      </w:r>
      <w:r w:rsidR="00750563" w:rsidRPr="00E743EF">
        <w:rPr>
          <w:rFonts w:ascii="Arial" w:hAnsi="Arial"/>
        </w:rPr>
        <w:t xml:space="preserve"> </w:t>
      </w:r>
      <w:r w:rsidR="00D70630">
        <w:rPr>
          <w:rFonts w:ascii="Arial" w:hAnsi="Arial"/>
        </w:rPr>
        <w:t>F</w:t>
      </w:r>
      <w:r w:rsidR="00E743EF" w:rsidRPr="00E743EF">
        <w:rPr>
          <w:rFonts w:ascii="Arial" w:hAnsi="Arial"/>
        </w:rPr>
        <w:t xml:space="preserve">unding </w:t>
      </w:r>
      <w:r w:rsidR="00D70630">
        <w:rPr>
          <w:rFonts w:ascii="Arial" w:hAnsi="Arial"/>
        </w:rPr>
        <w:t>G</w:t>
      </w:r>
      <w:r w:rsidR="00E743EF" w:rsidRPr="00E743EF">
        <w:rPr>
          <w:rFonts w:ascii="Arial" w:hAnsi="Arial"/>
        </w:rPr>
        <w:t>uida</w:t>
      </w:r>
      <w:r w:rsidR="00E743EF">
        <w:rPr>
          <w:rFonts w:ascii="Arial" w:hAnsi="Arial"/>
        </w:rPr>
        <w:t>nce</w:t>
      </w:r>
      <w:r w:rsidR="00D70630">
        <w:rPr>
          <w:rFonts w:ascii="Arial" w:hAnsi="Arial"/>
        </w:rPr>
        <w:t xml:space="preserve"> </w:t>
      </w:r>
      <w:r>
        <w:rPr>
          <w:rFonts w:ascii="Arial" w:hAnsi="Arial"/>
        </w:rPr>
        <w:t>b</w:t>
      </w:r>
      <w:r w:rsidR="00D70630">
        <w:rPr>
          <w:rFonts w:ascii="Arial" w:hAnsi="Arial"/>
        </w:rPr>
        <w:t>ook</w:t>
      </w:r>
      <w:r w:rsidR="00E743EF">
        <w:rPr>
          <w:rFonts w:ascii="Arial" w:hAnsi="Arial"/>
        </w:rPr>
        <w:t xml:space="preserve"> </w:t>
      </w:r>
      <w:r w:rsidR="00D70630">
        <w:rPr>
          <w:rFonts w:ascii="Arial" w:hAnsi="Arial"/>
        </w:rPr>
        <w:t xml:space="preserve">is in the process of being </w:t>
      </w:r>
      <w:r w:rsidR="00E743EF">
        <w:rPr>
          <w:rFonts w:ascii="Arial" w:hAnsi="Arial"/>
        </w:rPr>
        <w:t xml:space="preserve">updated, </w:t>
      </w:r>
      <w:r w:rsidR="00D70630">
        <w:rPr>
          <w:rFonts w:ascii="Arial" w:hAnsi="Arial"/>
        </w:rPr>
        <w:t xml:space="preserve">and </w:t>
      </w:r>
      <w:r w:rsidR="00E743EF">
        <w:rPr>
          <w:rFonts w:ascii="Arial" w:hAnsi="Arial"/>
        </w:rPr>
        <w:t>t</w:t>
      </w:r>
      <w:r w:rsidR="00750563" w:rsidRPr="00E743EF">
        <w:rPr>
          <w:rFonts w:ascii="Arial" w:hAnsi="Arial"/>
        </w:rPr>
        <w:t>his document will contain a detailed explanation of our local formula budget for primary and secondary schools</w:t>
      </w:r>
      <w:r w:rsidR="00E743EF">
        <w:rPr>
          <w:rFonts w:ascii="Arial" w:hAnsi="Arial"/>
        </w:rPr>
        <w:t>,</w:t>
      </w:r>
      <w:r w:rsidR="00E743EF" w:rsidRPr="00E743EF">
        <w:rPr>
          <w:rFonts w:ascii="Arial" w:hAnsi="Arial"/>
        </w:rPr>
        <w:t xml:space="preserve"> </w:t>
      </w:r>
      <w:r>
        <w:rPr>
          <w:rFonts w:ascii="Arial" w:hAnsi="Arial"/>
        </w:rPr>
        <w:t>which you will be able t</w:t>
      </w:r>
      <w:r w:rsidR="00E743EF" w:rsidRPr="00E743EF">
        <w:rPr>
          <w:rFonts w:ascii="Arial" w:hAnsi="Arial"/>
        </w:rPr>
        <w:t xml:space="preserve">o access </w:t>
      </w:r>
      <w:r>
        <w:rPr>
          <w:rFonts w:ascii="Arial" w:hAnsi="Arial"/>
        </w:rPr>
        <w:t>via the following link:</w:t>
      </w:r>
      <w:r w:rsidR="00E743EF" w:rsidRPr="00E743EF">
        <w:rPr>
          <w:rFonts w:ascii="Arial" w:hAnsi="Arial"/>
        </w:rPr>
        <w:t xml:space="preserve"> </w:t>
      </w:r>
      <w:hyperlink r:id="rId29" w:history="1">
        <w:r w:rsidR="00E743EF" w:rsidRPr="00BA69D4">
          <w:rPr>
            <w:rStyle w:val="Hyperlink"/>
            <w:rFonts w:ascii="Arial" w:hAnsi="Arial"/>
          </w:rPr>
          <w:t>Primary and Se</w:t>
        </w:r>
        <w:r w:rsidR="00E743EF" w:rsidRPr="00BA69D4">
          <w:rPr>
            <w:rStyle w:val="Hyperlink"/>
            <w:rFonts w:ascii="Arial" w:hAnsi="Arial"/>
          </w:rPr>
          <w:t>c</w:t>
        </w:r>
        <w:r w:rsidR="00E743EF" w:rsidRPr="00BA69D4">
          <w:rPr>
            <w:rStyle w:val="Hyperlink"/>
            <w:rFonts w:ascii="Arial" w:hAnsi="Arial"/>
          </w:rPr>
          <w:t>ondary School Funding Guidance 201</w:t>
        </w:r>
        <w:r w:rsidR="00BA69D4" w:rsidRPr="00BA69D4">
          <w:rPr>
            <w:rStyle w:val="Hyperlink"/>
            <w:rFonts w:ascii="Arial" w:hAnsi="Arial"/>
          </w:rPr>
          <w:t>7</w:t>
        </w:r>
        <w:r w:rsidR="00E743EF" w:rsidRPr="00BA69D4">
          <w:rPr>
            <w:rStyle w:val="Hyperlink"/>
            <w:rFonts w:ascii="Arial" w:hAnsi="Arial"/>
          </w:rPr>
          <w:t>-1</w:t>
        </w:r>
        <w:r w:rsidR="00BA69D4" w:rsidRPr="00BA69D4">
          <w:rPr>
            <w:rStyle w:val="Hyperlink"/>
            <w:rFonts w:ascii="Arial" w:hAnsi="Arial"/>
          </w:rPr>
          <w:t>8</w:t>
        </w:r>
      </w:hyperlink>
      <w:r w:rsidR="00E743EF">
        <w:rPr>
          <w:rFonts w:ascii="Arial" w:hAnsi="Arial"/>
        </w:rPr>
        <w:t xml:space="preserve">. </w:t>
      </w:r>
      <w:r>
        <w:rPr>
          <w:rFonts w:ascii="Arial" w:hAnsi="Arial"/>
        </w:rPr>
        <w:t xml:space="preserve"> In summary t</w:t>
      </w:r>
      <w:r w:rsidR="00E743EF">
        <w:rPr>
          <w:rFonts w:ascii="Arial" w:hAnsi="Arial"/>
        </w:rPr>
        <w:t>here has been minimal change to Kent’s local formula factors in 201</w:t>
      </w:r>
      <w:r w:rsidR="006C7F7C">
        <w:rPr>
          <w:rFonts w:ascii="Arial" w:hAnsi="Arial"/>
        </w:rPr>
        <w:t>7</w:t>
      </w:r>
      <w:r w:rsidR="00E743EF">
        <w:rPr>
          <w:rFonts w:ascii="Arial" w:hAnsi="Arial"/>
        </w:rPr>
        <w:t>-1</w:t>
      </w:r>
      <w:r w:rsidR="006C7F7C">
        <w:rPr>
          <w:rFonts w:ascii="Arial" w:hAnsi="Arial"/>
        </w:rPr>
        <w:t>8</w:t>
      </w:r>
      <w:r>
        <w:rPr>
          <w:rFonts w:ascii="Arial" w:hAnsi="Arial"/>
        </w:rPr>
        <w:t xml:space="preserve">.  </w:t>
      </w:r>
      <w:bookmarkStart w:id="14" w:name="SectionDFD"/>
      <w:r>
        <w:rPr>
          <w:rFonts w:ascii="Arial" w:hAnsi="Arial"/>
        </w:rPr>
        <w:t>However t</w:t>
      </w:r>
      <w:r w:rsidR="00385E39">
        <w:rPr>
          <w:rFonts w:ascii="Arial" w:hAnsi="Arial"/>
        </w:rPr>
        <w:t>here ha</w:t>
      </w:r>
      <w:r>
        <w:rPr>
          <w:rFonts w:ascii="Arial" w:hAnsi="Arial"/>
        </w:rPr>
        <w:t>ve</w:t>
      </w:r>
      <w:r w:rsidR="00385E39">
        <w:rPr>
          <w:rFonts w:ascii="Arial" w:hAnsi="Arial"/>
        </w:rPr>
        <w:t xml:space="preserve"> been </w:t>
      </w:r>
      <w:r w:rsidR="004A21DB">
        <w:rPr>
          <w:rFonts w:ascii="Arial" w:hAnsi="Arial"/>
        </w:rPr>
        <w:t xml:space="preserve">three notable events that have impacted on </w:t>
      </w:r>
      <w:r w:rsidR="008822B9">
        <w:rPr>
          <w:rFonts w:ascii="Arial" w:hAnsi="Arial"/>
        </w:rPr>
        <w:t>individual school budgets</w:t>
      </w:r>
      <w:r w:rsidR="006B0925">
        <w:rPr>
          <w:rFonts w:ascii="Arial" w:hAnsi="Arial"/>
        </w:rPr>
        <w:t>.</w:t>
      </w:r>
    </w:p>
    <w:p w:rsidR="00E743EF" w:rsidRDefault="00E743EF" w:rsidP="00CB6BB6">
      <w:pPr>
        <w:spacing w:before="120"/>
        <w:rPr>
          <w:rFonts w:ascii="Arial" w:hAnsi="Arial"/>
          <w:u w:val="single"/>
        </w:rPr>
      </w:pPr>
    </w:p>
    <w:p w:rsidR="003F4C68" w:rsidRPr="000467C6" w:rsidRDefault="003F4C68" w:rsidP="00CB6BB6">
      <w:pPr>
        <w:spacing w:before="120"/>
        <w:rPr>
          <w:rFonts w:ascii="Arial" w:hAnsi="Arial"/>
          <w:u w:val="single"/>
        </w:rPr>
      </w:pPr>
      <w:r w:rsidRPr="000467C6">
        <w:rPr>
          <w:rFonts w:ascii="Arial" w:hAnsi="Arial"/>
          <w:u w:val="single"/>
        </w:rPr>
        <w:t>I</w:t>
      </w:r>
      <w:r w:rsidR="000D3F6E">
        <w:rPr>
          <w:rFonts w:ascii="Arial" w:hAnsi="Arial"/>
          <w:u w:val="single"/>
        </w:rPr>
        <w:t xml:space="preserve">ncome </w:t>
      </w:r>
      <w:r w:rsidRPr="000467C6">
        <w:rPr>
          <w:rFonts w:ascii="Arial" w:hAnsi="Arial"/>
          <w:u w:val="single"/>
        </w:rPr>
        <w:t>D</w:t>
      </w:r>
      <w:r w:rsidR="000D3F6E">
        <w:rPr>
          <w:rFonts w:ascii="Arial" w:hAnsi="Arial"/>
          <w:u w:val="single"/>
        </w:rPr>
        <w:t xml:space="preserve">eprivation </w:t>
      </w:r>
      <w:r w:rsidRPr="000467C6">
        <w:rPr>
          <w:rFonts w:ascii="Arial" w:hAnsi="Arial"/>
          <w:u w:val="single"/>
        </w:rPr>
        <w:t>A</w:t>
      </w:r>
      <w:r w:rsidR="000D3F6E">
        <w:rPr>
          <w:rFonts w:ascii="Arial" w:hAnsi="Arial"/>
          <w:u w:val="single"/>
        </w:rPr>
        <w:t xml:space="preserve">ffecting </w:t>
      </w:r>
      <w:proofErr w:type="spellStart"/>
      <w:r w:rsidRPr="000467C6">
        <w:rPr>
          <w:rFonts w:ascii="Arial" w:hAnsi="Arial"/>
          <w:u w:val="single"/>
        </w:rPr>
        <w:t>C</w:t>
      </w:r>
      <w:r w:rsidR="000D3F6E">
        <w:rPr>
          <w:rFonts w:ascii="Arial" w:hAnsi="Arial"/>
          <w:u w:val="single"/>
        </w:rPr>
        <w:t>hildrens</w:t>
      </w:r>
      <w:proofErr w:type="spellEnd"/>
      <w:r w:rsidR="000D3F6E">
        <w:rPr>
          <w:rFonts w:ascii="Arial" w:hAnsi="Arial"/>
          <w:u w:val="single"/>
        </w:rPr>
        <w:t xml:space="preserve"> </w:t>
      </w:r>
      <w:r w:rsidRPr="000467C6">
        <w:rPr>
          <w:rFonts w:ascii="Arial" w:hAnsi="Arial"/>
          <w:u w:val="single"/>
        </w:rPr>
        <w:t>I</w:t>
      </w:r>
      <w:r w:rsidR="000D3F6E">
        <w:rPr>
          <w:rFonts w:ascii="Arial" w:hAnsi="Arial"/>
          <w:u w:val="single"/>
        </w:rPr>
        <w:t>ndex (IDACI)</w:t>
      </w:r>
      <w:r w:rsidRPr="000467C6">
        <w:rPr>
          <w:rFonts w:ascii="Arial" w:hAnsi="Arial"/>
          <w:u w:val="single"/>
        </w:rPr>
        <w:t xml:space="preserve"> </w:t>
      </w:r>
      <w:r w:rsidR="00EB4175" w:rsidRPr="000467C6">
        <w:rPr>
          <w:rFonts w:ascii="Arial" w:hAnsi="Arial"/>
          <w:u w:val="single"/>
        </w:rPr>
        <w:t>– Formula factor 2</w:t>
      </w:r>
    </w:p>
    <w:p w:rsidR="000D3F6E" w:rsidRDefault="00A7569C" w:rsidP="00CB6BB6">
      <w:pPr>
        <w:spacing w:before="120"/>
        <w:rPr>
          <w:rFonts w:ascii="Arial" w:hAnsi="Arial"/>
        </w:rPr>
      </w:pPr>
      <w:r>
        <w:rPr>
          <w:rFonts w:ascii="Arial" w:hAnsi="Arial"/>
        </w:rPr>
        <w:t>You may recall that t</w:t>
      </w:r>
      <w:r w:rsidR="000D3F6E">
        <w:rPr>
          <w:rFonts w:ascii="Arial" w:hAnsi="Arial"/>
        </w:rPr>
        <w:t xml:space="preserve">he underlying data used to calculate </w:t>
      </w:r>
      <w:r w:rsidR="002A2DDE">
        <w:rPr>
          <w:rFonts w:ascii="Arial" w:hAnsi="Arial"/>
        </w:rPr>
        <w:t xml:space="preserve">IDACI bandings was updated for the 2016-17 budget release. </w:t>
      </w:r>
      <w:r>
        <w:rPr>
          <w:rFonts w:ascii="Arial" w:hAnsi="Arial"/>
        </w:rPr>
        <w:t xml:space="preserve"> </w:t>
      </w:r>
      <w:r w:rsidR="002A2DDE">
        <w:rPr>
          <w:rFonts w:ascii="Arial" w:hAnsi="Arial"/>
        </w:rPr>
        <w:t xml:space="preserve">One outcome of this update </w:t>
      </w:r>
      <w:r w:rsidR="00B029C5">
        <w:rPr>
          <w:rFonts w:ascii="Arial" w:hAnsi="Arial"/>
        </w:rPr>
        <w:t>was to create a considerable amount of turbulence in school budgets. In acknowledgement of this</w:t>
      </w:r>
      <w:r w:rsidR="008B55F3">
        <w:rPr>
          <w:rFonts w:ascii="Arial" w:hAnsi="Arial"/>
        </w:rPr>
        <w:t>,</w:t>
      </w:r>
      <w:r w:rsidR="00B029C5">
        <w:rPr>
          <w:rFonts w:ascii="Arial" w:hAnsi="Arial"/>
        </w:rPr>
        <w:t xml:space="preserve"> the Education Funding Agency (EFA) revised the bandings again for 2017-18 in order to more closely </w:t>
      </w:r>
      <w:r w:rsidR="00AC4415">
        <w:rPr>
          <w:rFonts w:ascii="Arial" w:hAnsi="Arial"/>
        </w:rPr>
        <w:t xml:space="preserve">match the distribution of the number of children in each band </w:t>
      </w:r>
      <w:r>
        <w:rPr>
          <w:rFonts w:ascii="Arial" w:hAnsi="Arial"/>
        </w:rPr>
        <w:t xml:space="preserve">back </w:t>
      </w:r>
      <w:r w:rsidR="00AC4415">
        <w:rPr>
          <w:rFonts w:ascii="Arial" w:hAnsi="Arial"/>
        </w:rPr>
        <w:t>in 2015-16.</w:t>
      </w:r>
    </w:p>
    <w:p w:rsidR="00AC4415" w:rsidRDefault="00AC4415" w:rsidP="00CB6BB6">
      <w:pPr>
        <w:spacing w:before="120"/>
        <w:rPr>
          <w:rFonts w:ascii="Arial" w:hAnsi="Arial"/>
        </w:rPr>
      </w:pPr>
      <w:r>
        <w:rPr>
          <w:rFonts w:ascii="Arial" w:hAnsi="Arial"/>
        </w:rPr>
        <w:t>The revised distribution for 2017-18 created further turbulence and a</w:t>
      </w:r>
      <w:r w:rsidR="00A7569C">
        <w:rPr>
          <w:rFonts w:ascii="Arial" w:hAnsi="Arial"/>
        </w:rPr>
        <w:t>n estimated</w:t>
      </w:r>
      <w:r>
        <w:rPr>
          <w:rFonts w:ascii="Arial" w:hAnsi="Arial"/>
        </w:rPr>
        <w:t xml:space="preserve"> funding pressure of around £1.5m</w:t>
      </w:r>
      <w:r w:rsidR="00E27394">
        <w:rPr>
          <w:rFonts w:ascii="Arial" w:hAnsi="Arial"/>
        </w:rPr>
        <w:t xml:space="preserve"> was initially forecast</w:t>
      </w:r>
      <w:r>
        <w:rPr>
          <w:rFonts w:ascii="Arial" w:hAnsi="Arial"/>
        </w:rPr>
        <w:t xml:space="preserve">. </w:t>
      </w:r>
      <w:r w:rsidR="00A7569C">
        <w:rPr>
          <w:rFonts w:ascii="Arial" w:hAnsi="Arial"/>
        </w:rPr>
        <w:t xml:space="preserve"> </w:t>
      </w:r>
      <w:r w:rsidR="00E27394">
        <w:rPr>
          <w:rFonts w:ascii="Arial" w:hAnsi="Arial"/>
        </w:rPr>
        <w:t xml:space="preserve">To </w:t>
      </w:r>
      <w:r>
        <w:rPr>
          <w:rFonts w:ascii="Arial" w:hAnsi="Arial"/>
        </w:rPr>
        <w:t xml:space="preserve">maintain stability </w:t>
      </w:r>
      <w:r w:rsidR="00E27394">
        <w:rPr>
          <w:rFonts w:ascii="Arial" w:hAnsi="Arial"/>
        </w:rPr>
        <w:t xml:space="preserve">across the overall Schools’ budget </w:t>
      </w:r>
      <w:r>
        <w:rPr>
          <w:rFonts w:ascii="Arial" w:hAnsi="Arial"/>
        </w:rPr>
        <w:t xml:space="preserve">a recommendation was made to the </w:t>
      </w:r>
      <w:r w:rsidR="00344DA0">
        <w:rPr>
          <w:rFonts w:ascii="Arial" w:hAnsi="Arial"/>
        </w:rPr>
        <w:t>Forum</w:t>
      </w:r>
      <w:r>
        <w:rPr>
          <w:rFonts w:ascii="Arial" w:hAnsi="Arial"/>
        </w:rPr>
        <w:t xml:space="preserve"> to set the IDACI band rates at a level that maintained the overall distribution at the </w:t>
      </w:r>
      <w:r w:rsidR="00E27394">
        <w:rPr>
          <w:rFonts w:ascii="Arial" w:hAnsi="Arial"/>
        </w:rPr>
        <w:t xml:space="preserve">same </w:t>
      </w:r>
      <w:r w:rsidR="00344DA0">
        <w:rPr>
          <w:rFonts w:ascii="Arial" w:hAnsi="Arial"/>
        </w:rPr>
        <w:t>funding leve</w:t>
      </w:r>
      <w:r>
        <w:rPr>
          <w:rFonts w:ascii="Arial" w:hAnsi="Arial"/>
        </w:rPr>
        <w:t>l</w:t>
      </w:r>
      <w:r w:rsidR="00E27394">
        <w:rPr>
          <w:rFonts w:ascii="Arial" w:hAnsi="Arial"/>
        </w:rPr>
        <w:t xml:space="preserve"> as 2016-17</w:t>
      </w:r>
      <w:r>
        <w:rPr>
          <w:rFonts w:ascii="Arial" w:hAnsi="Arial"/>
        </w:rPr>
        <w:t xml:space="preserve">. </w:t>
      </w:r>
    </w:p>
    <w:p w:rsidR="000D3F6E" w:rsidRPr="00A82C6D" w:rsidRDefault="00AC4415" w:rsidP="00CB6BB6">
      <w:pPr>
        <w:spacing w:before="120"/>
        <w:rPr>
          <w:rFonts w:ascii="Arial" w:hAnsi="Arial"/>
        </w:rPr>
      </w:pPr>
      <w:r>
        <w:rPr>
          <w:rFonts w:ascii="Arial" w:hAnsi="Arial"/>
        </w:rPr>
        <w:t xml:space="preserve">In addition to </w:t>
      </w:r>
      <w:r w:rsidR="00A82C6D">
        <w:rPr>
          <w:rFonts w:ascii="Arial" w:hAnsi="Arial"/>
        </w:rPr>
        <w:t xml:space="preserve">the revised distribution the EFA also changed the descriptive character for each band from a number to a letter. Band 1 is now Band F, Band 6 is now Band A and the bands 2 to 5 follow the same sequence. </w:t>
      </w:r>
      <w:r w:rsidR="00344DA0">
        <w:rPr>
          <w:rFonts w:ascii="Arial" w:hAnsi="Arial"/>
        </w:rPr>
        <w:t xml:space="preserve"> </w:t>
      </w:r>
    </w:p>
    <w:p w:rsidR="000D3F6E" w:rsidRDefault="000D3F6E" w:rsidP="00CB6BB6">
      <w:pPr>
        <w:spacing w:before="120"/>
        <w:rPr>
          <w:rFonts w:ascii="Arial" w:hAnsi="Arial"/>
          <w:b/>
        </w:rPr>
      </w:pPr>
    </w:p>
    <w:p w:rsidR="006E1CF4" w:rsidRPr="006C7F7C" w:rsidRDefault="006E1CF4" w:rsidP="00CB6BB6">
      <w:pPr>
        <w:spacing w:before="120"/>
        <w:rPr>
          <w:rFonts w:ascii="Arial" w:hAnsi="Arial"/>
        </w:rPr>
      </w:pPr>
      <w:r w:rsidRPr="006C7F7C">
        <w:rPr>
          <w:rFonts w:ascii="Arial" w:hAnsi="Arial"/>
          <w:u w:val="single"/>
        </w:rPr>
        <w:t>Primary Phase</w:t>
      </w:r>
      <w:r w:rsidR="00150A51" w:rsidRPr="006C7F7C">
        <w:rPr>
          <w:rFonts w:ascii="Arial" w:hAnsi="Arial"/>
          <w:u w:val="single"/>
        </w:rPr>
        <w:t xml:space="preserve"> adjustment to </w:t>
      </w:r>
      <w:r w:rsidR="001D6C66" w:rsidRPr="006C7F7C">
        <w:rPr>
          <w:rFonts w:ascii="Arial" w:hAnsi="Arial"/>
          <w:u w:val="single"/>
        </w:rPr>
        <w:t>Low Cost High Incidence SEN (LCHIS)</w:t>
      </w:r>
      <w:r w:rsidR="00150A51" w:rsidRPr="006C7F7C">
        <w:rPr>
          <w:rFonts w:ascii="Arial" w:hAnsi="Arial"/>
          <w:u w:val="single"/>
        </w:rPr>
        <w:t xml:space="preserve"> funding rate</w:t>
      </w:r>
      <w:r w:rsidR="00EB4175" w:rsidRPr="006C7F7C">
        <w:rPr>
          <w:rFonts w:ascii="Arial" w:hAnsi="Arial"/>
          <w:u w:val="single"/>
        </w:rPr>
        <w:t>, formula factor 6</w:t>
      </w:r>
      <w:r w:rsidR="00150A51" w:rsidRPr="006C7F7C">
        <w:rPr>
          <w:rFonts w:ascii="Arial" w:hAnsi="Arial"/>
          <w:u w:val="single"/>
        </w:rPr>
        <w:t xml:space="preserve"> </w:t>
      </w:r>
    </w:p>
    <w:p w:rsidR="00BC2E7B" w:rsidRDefault="00132D2C" w:rsidP="00691F62">
      <w:pPr>
        <w:spacing w:before="120"/>
        <w:rPr>
          <w:rFonts w:ascii="Arial" w:hAnsi="Arial"/>
        </w:rPr>
      </w:pPr>
      <w:r>
        <w:rPr>
          <w:rFonts w:ascii="Arial" w:hAnsi="Arial"/>
        </w:rPr>
        <w:t>The primary funding for LCHIS has been reduced fr</w:t>
      </w:r>
      <w:r w:rsidR="0012163E">
        <w:rPr>
          <w:rFonts w:ascii="Arial" w:hAnsi="Arial"/>
        </w:rPr>
        <w:t>o</w:t>
      </w:r>
      <w:r>
        <w:rPr>
          <w:rFonts w:ascii="Arial" w:hAnsi="Arial"/>
        </w:rPr>
        <w:t>m £</w:t>
      </w:r>
      <w:r w:rsidR="00BC2E7B">
        <w:rPr>
          <w:rFonts w:ascii="Arial" w:hAnsi="Arial"/>
        </w:rPr>
        <w:t xml:space="preserve">729.11 to £530.52 per eligible pupil. </w:t>
      </w:r>
      <w:r w:rsidR="00344DA0">
        <w:rPr>
          <w:rFonts w:ascii="Arial" w:hAnsi="Arial"/>
        </w:rPr>
        <w:t xml:space="preserve"> </w:t>
      </w:r>
      <w:r w:rsidR="00BC2E7B">
        <w:rPr>
          <w:rFonts w:ascii="Arial" w:hAnsi="Arial"/>
        </w:rPr>
        <w:t>The</w:t>
      </w:r>
      <w:r w:rsidR="001C5662">
        <w:rPr>
          <w:rFonts w:ascii="Arial" w:hAnsi="Arial"/>
        </w:rPr>
        <w:t>re are</w:t>
      </w:r>
      <w:r w:rsidR="00BC2E7B">
        <w:rPr>
          <w:rFonts w:ascii="Arial" w:hAnsi="Arial"/>
        </w:rPr>
        <w:t xml:space="preserve"> two reasons for th</w:t>
      </w:r>
      <w:r w:rsidR="001C5662">
        <w:rPr>
          <w:rFonts w:ascii="Arial" w:hAnsi="Arial"/>
        </w:rPr>
        <w:t>is</w:t>
      </w:r>
      <w:r w:rsidR="00BC2E7B">
        <w:rPr>
          <w:rFonts w:ascii="Arial" w:hAnsi="Arial"/>
        </w:rPr>
        <w:t xml:space="preserve"> reduction</w:t>
      </w:r>
      <w:r w:rsidR="001C5662">
        <w:rPr>
          <w:rFonts w:ascii="Arial" w:hAnsi="Arial"/>
        </w:rPr>
        <w:t>, as</w:t>
      </w:r>
      <w:r w:rsidR="00BC2E7B">
        <w:rPr>
          <w:rFonts w:ascii="Arial" w:hAnsi="Arial"/>
        </w:rPr>
        <w:t xml:space="preserve"> explained below:</w:t>
      </w:r>
    </w:p>
    <w:p w:rsidR="00691F62" w:rsidRPr="001C5662" w:rsidRDefault="00691F62" w:rsidP="00344DA0">
      <w:pPr>
        <w:pStyle w:val="ListParagraph"/>
        <w:numPr>
          <w:ilvl w:val="0"/>
          <w:numId w:val="37"/>
        </w:numPr>
        <w:spacing w:before="120"/>
        <w:ind w:left="426" w:hanging="426"/>
        <w:rPr>
          <w:rFonts w:ascii="Arial" w:hAnsi="Arial"/>
          <w:i/>
        </w:rPr>
      </w:pPr>
      <w:r w:rsidRPr="001C5662">
        <w:rPr>
          <w:rFonts w:ascii="Arial" w:hAnsi="Arial"/>
          <w:i/>
        </w:rPr>
        <w:t xml:space="preserve">Transfer in funding </w:t>
      </w:r>
      <w:r w:rsidR="00BC2E7B" w:rsidRPr="001C5662">
        <w:rPr>
          <w:rFonts w:ascii="Arial" w:hAnsi="Arial"/>
          <w:i/>
        </w:rPr>
        <w:t>from Schools Block to High Needs block to fund pressure for additional Mainstream HNPs</w:t>
      </w:r>
    </w:p>
    <w:p w:rsidR="00691F62" w:rsidRDefault="00BC2E7B" w:rsidP="00344DA0">
      <w:pPr>
        <w:spacing w:before="120"/>
        <w:ind w:left="426"/>
        <w:rPr>
          <w:rFonts w:ascii="Arial" w:hAnsi="Arial"/>
        </w:rPr>
      </w:pPr>
      <w:r>
        <w:rPr>
          <w:rFonts w:ascii="Arial" w:hAnsi="Arial"/>
        </w:rPr>
        <w:t xml:space="preserve">As explained in section B </w:t>
      </w:r>
      <w:r w:rsidR="000D3F6E">
        <w:rPr>
          <w:rFonts w:ascii="Arial" w:hAnsi="Arial"/>
        </w:rPr>
        <w:t>the funding rate for primary LCHIS has be reduced by 25% a reduction of £178.27 from £729.11 to £5</w:t>
      </w:r>
      <w:r w:rsidR="00344DA0">
        <w:rPr>
          <w:rFonts w:ascii="Arial" w:hAnsi="Arial"/>
        </w:rPr>
        <w:t>50</w:t>
      </w:r>
      <w:r w:rsidR="000D3F6E">
        <w:rPr>
          <w:rFonts w:ascii="Arial" w:hAnsi="Arial"/>
        </w:rPr>
        <w:t>.</w:t>
      </w:r>
      <w:r w:rsidR="00344DA0">
        <w:rPr>
          <w:rFonts w:ascii="Arial" w:hAnsi="Arial"/>
        </w:rPr>
        <w:t>84</w:t>
      </w:r>
      <w:r w:rsidR="000D3F6E">
        <w:rPr>
          <w:rFonts w:ascii="Arial" w:hAnsi="Arial"/>
        </w:rPr>
        <w:t xml:space="preserve"> to meet the increase in HNPs in mainstream primary schools. The reduction in the funding rate is outside of the MFG and therefore </w:t>
      </w:r>
      <w:r w:rsidR="001C5662">
        <w:rPr>
          <w:rFonts w:ascii="Arial" w:hAnsi="Arial"/>
        </w:rPr>
        <w:t xml:space="preserve">excluded </w:t>
      </w:r>
      <w:r w:rsidR="000D3F6E">
        <w:rPr>
          <w:rFonts w:ascii="Arial" w:hAnsi="Arial"/>
        </w:rPr>
        <w:t>from a schools MFG baseline for 2017-18</w:t>
      </w:r>
      <w:r w:rsidR="001C5662">
        <w:rPr>
          <w:rFonts w:ascii="Arial" w:hAnsi="Arial"/>
        </w:rPr>
        <w:t>.</w:t>
      </w:r>
    </w:p>
    <w:p w:rsidR="00691F62" w:rsidRPr="00344DA0" w:rsidRDefault="00691F62" w:rsidP="00344DA0">
      <w:pPr>
        <w:pStyle w:val="ListParagraph"/>
        <w:numPr>
          <w:ilvl w:val="0"/>
          <w:numId w:val="37"/>
        </w:numPr>
        <w:spacing w:before="120"/>
        <w:ind w:left="426" w:hanging="426"/>
        <w:rPr>
          <w:rFonts w:ascii="Arial" w:hAnsi="Arial"/>
        </w:rPr>
      </w:pPr>
      <w:r w:rsidRPr="001C5662">
        <w:rPr>
          <w:rFonts w:ascii="Arial" w:hAnsi="Arial"/>
          <w:i/>
        </w:rPr>
        <w:t xml:space="preserve">Foundation Stage Profile – </w:t>
      </w:r>
      <w:r w:rsidR="00BC2E7B" w:rsidRPr="001C5662">
        <w:rPr>
          <w:rFonts w:ascii="Arial" w:hAnsi="Arial"/>
          <w:i/>
        </w:rPr>
        <w:t>Change in profil</w:t>
      </w:r>
      <w:r w:rsidR="001C5662">
        <w:rPr>
          <w:rFonts w:ascii="Arial" w:hAnsi="Arial"/>
          <w:i/>
        </w:rPr>
        <w:t>e</w:t>
      </w:r>
    </w:p>
    <w:p w:rsidR="00691F62" w:rsidRDefault="00691F62" w:rsidP="00344DA0">
      <w:pPr>
        <w:spacing w:before="120"/>
        <w:ind w:left="426"/>
        <w:rPr>
          <w:rFonts w:ascii="Arial" w:hAnsi="Arial"/>
        </w:rPr>
      </w:pPr>
      <w:r>
        <w:rPr>
          <w:rFonts w:ascii="Arial" w:hAnsi="Arial"/>
        </w:rPr>
        <w:t xml:space="preserve">From the 1 April 2014, the Foundation Stage Profile score was replaced with a judgement, and we are now in the </w:t>
      </w:r>
      <w:r w:rsidR="00132D2C">
        <w:rPr>
          <w:rFonts w:ascii="Arial" w:hAnsi="Arial"/>
        </w:rPr>
        <w:t xml:space="preserve">fourth </w:t>
      </w:r>
      <w:r>
        <w:rPr>
          <w:rFonts w:ascii="Arial" w:hAnsi="Arial"/>
        </w:rPr>
        <w:t>year of transition.  An eligible pupil is now one that is “Not achieving a good level of development”.  The % of qualifying pupils in a primary school is now a mix of the new judgement for pupils in y</w:t>
      </w:r>
      <w:r w:rsidR="0039558A">
        <w:rPr>
          <w:rFonts w:ascii="Arial" w:hAnsi="Arial"/>
        </w:rPr>
        <w:t>ear groups 1 to 4</w:t>
      </w:r>
      <w:r>
        <w:rPr>
          <w:rFonts w:ascii="Arial" w:hAnsi="Arial"/>
        </w:rPr>
        <w:t xml:space="preserve"> and</w:t>
      </w:r>
      <w:r w:rsidR="0039558A">
        <w:rPr>
          <w:rFonts w:ascii="Arial" w:hAnsi="Arial"/>
        </w:rPr>
        <w:t xml:space="preserve"> </w:t>
      </w:r>
      <w:r>
        <w:rPr>
          <w:rFonts w:ascii="Arial" w:hAnsi="Arial"/>
        </w:rPr>
        <w:t>the old foundation score of below 78 f</w:t>
      </w:r>
      <w:r w:rsidR="0039558A">
        <w:rPr>
          <w:rFonts w:ascii="Arial" w:hAnsi="Arial"/>
        </w:rPr>
        <w:t>or pupils in years 5</w:t>
      </w:r>
      <w:r>
        <w:rPr>
          <w:rFonts w:ascii="Arial" w:hAnsi="Arial"/>
        </w:rPr>
        <w:t xml:space="preserve"> to 6.  In 2013-14</w:t>
      </w:r>
      <w:r w:rsidR="00344DA0">
        <w:rPr>
          <w:rFonts w:ascii="Arial" w:hAnsi="Arial"/>
        </w:rPr>
        <w:t xml:space="preserve"> only</w:t>
      </w:r>
      <w:r>
        <w:rPr>
          <w:rFonts w:ascii="Arial" w:hAnsi="Arial"/>
        </w:rPr>
        <w:t xml:space="preserve"> 16% of primary school pupils received funding for LCHIS</w:t>
      </w:r>
      <w:r w:rsidR="00344DA0">
        <w:rPr>
          <w:rFonts w:ascii="Arial" w:hAnsi="Arial"/>
        </w:rPr>
        <w:t xml:space="preserve">.  This has increased to </w:t>
      </w:r>
      <w:r w:rsidR="0039558A">
        <w:rPr>
          <w:rFonts w:ascii="Arial" w:hAnsi="Arial"/>
        </w:rPr>
        <w:t>24</w:t>
      </w:r>
      <w:r>
        <w:rPr>
          <w:rFonts w:ascii="Arial" w:hAnsi="Arial"/>
        </w:rPr>
        <w:t xml:space="preserve">.3% of primary school pupils </w:t>
      </w:r>
      <w:r w:rsidR="00344DA0">
        <w:rPr>
          <w:rFonts w:ascii="Arial" w:hAnsi="Arial"/>
        </w:rPr>
        <w:t xml:space="preserve">in 2017-18, as </w:t>
      </w:r>
      <w:r>
        <w:rPr>
          <w:rFonts w:ascii="Arial" w:hAnsi="Arial"/>
        </w:rPr>
        <w:t xml:space="preserve">more pupils becoming eligible under the new criteria.  </w:t>
      </w:r>
      <w:r w:rsidR="00344DA0">
        <w:rPr>
          <w:rFonts w:ascii="Arial" w:hAnsi="Arial"/>
        </w:rPr>
        <w:t xml:space="preserve"> </w:t>
      </w:r>
      <w:r>
        <w:rPr>
          <w:rFonts w:ascii="Arial" w:hAnsi="Arial"/>
        </w:rPr>
        <w:t xml:space="preserve">To accommodate the increase in overall eligible numbers, the rate per eligible pupil has </w:t>
      </w:r>
      <w:r w:rsidR="00344DA0">
        <w:rPr>
          <w:rFonts w:ascii="Arial" w:hAnsi="Arial"/>
        </w:rPr>
        <w:t xml:space="preserve">reduced from </w:t>
      </w:r>
      <w:r>
        <w:rPr>
          <w:rFonts w:ascii="Arial" w:hAnsi="Arial"/>
        </w:rPr>
        <w:t>£</w:t>
      </w:r>
      <w:r w:rsidR="0039558A">
        <w:rPr>
          <w:rFonts w:ascii="Arial" w:hAnsi="Arial"/>
        </w:rPr>
        <w:t xml:space="preserve">550.84 </w:t>
      </w:r>
      <w:r>
        <w:rPr>
          <w:rFonts w:ascii="Arial" w:hAnsi="Arial"/>
        </w:rPr>
        <w:t>to £</w:t>
      </w:r>
      <w:r w:rsidR="0039558A">
        <w:rPr>
          <w:rFonts w:ascii="Arial" w:hAnsi="Arial"/>
        </w:rPr>
        <w:t>530.52</w:t>
      </w:r>
      <w:r>
        <w:rPr>
          <w:rFonts w:ascii="Arial" w:hAnsi="Arial"/>
        </w:rPr>
        <w:t>.  Despite this reduction, the total amount of funding being allocated to schools through the LCHIS factor has remained constant</w:t>
      </w:r>
      <w:r w:rsidR="00C827E9">
        <w:rPr>
          <w:rFonts w:ascii="Arial" w:hAnsi="Arial"/>
        </w:rPr>
        <w:t>, after adjusting for the £5m transfer mentioned in 1) above</w:t>
      </w:r>
      <w:r>
        <w:rPr>
          <w:rFonts w:ascii="Arial" w:hAnsi="Arial"/>
        </w:rPr>
        <w:t>.</w:t>
      </w:r>
    </w:p>
    <w:p w:rsidR="00691F62" w:rsidRDefault="00691F62" w:rsidP="00691F62">
      <w:pPr>
        <w:spacing w:before="120"/>
        <w:rPr>
          <w:rFonts w:ascii="Arial" w:hAnsi="Arial"/>
        </w:rPr>
      </w:pPr>
    </w:p>
    <w:p w:rsidR="00E96105" w:rsidRDefault="00E96105" w:rsidP="00CB6BB6">
      <w:pPr>
        <w:spacing w:before="120"/>
        <w:rPr>
          <w:rFonts w:ascii="Arial" w:hAnsi="Arial"/>
          <w:b/>
          <w:u w:val="single"/>
        </w:rPr>
      </w:pPr>
      <w:bookmarkStart w:id="15" w:name="SectionDDeDel"/>
    </w:p>
    <w:p w:rsidR="00E96105" w:rsidRDefault="00E96105" w:rsidP="00CB6BB6">
      <w:pPr>
        <w:spacing w:before="120"/>
        <w:rPr>
          <w:rFonts w:ascii="Arial" w:hAnsi="Arial"/>
          <w:b/>
          <w:u w:val="single"/>
        </w:rPr>
      </w:pPr>
    </w:p>
    <w:p w:rsidR="00CB6BB6" w:rsidRPr="00CB6BB6" w:rsidRDefault="00692E9F" w:rsidP="00CB6BB6">
      <w:pPr>
        <w:spacing w:before="120"/>
        <w:rPr>
          <w:rFonts w:ascii="Arial" w:hAnsi="Arial"/>
          <w:b/>
          <w:u w:val="single"/>
        </w:rPr>
      </w:pPr>
      <w:r>
        <w:rPr>
          <w:rFonts w:ascii="Arial" w:hAnsi="Arial"/>
          <w:b/>
          <w:u w:val="single"/>
        </w:rPr>
        <w:lastRenderedPageBreak/>
        <w:t>De-delegation</w:t>
      </w:r>
    </w:p>
    <w:bookmarkEnd w:id="14"/>
    <w:bookmarkEnd w:id="15"/>
    <w:p w:rsidR="000B5DDF" w:rsidRDefault="00061139" w:rsidP="00974237">
      <w:pPr>
        <w:spacing w:before="120"/>
        <w:rPr>
          <w:rFonts w:ascii="Arial" w:hAnsi="Arial" w:cs="Arial"/>
        </w:rPr>
      </w:pPr>
      <w:r>
        <w:rPr>
          <w:rFonts w:ascii="Arial" w:hAnsi="Arial" w:cs="Arial"/>
        </w:rPr>
        <w:t>Members of</w:t>
      </w:r>
      <w:r w:rsidR="008C72E9">
        <w:rPr>
          <w:rFonts w:ascii="Arial" w:hAnsi="Arial" w:cs="Arial"/>
        </w:rPr>
        <w:t xml:space="preserve"> the SFF</w:t>
      </w:r>
      <w:r>
        <w:rPr>
          <w:rFonts w:ascii="Arial" w:hAnsi="Arial" w:cs="Arial"/>
        </w:rPr>
        <w:t xml:space="preserve"> representing </w:t>
      </w:r>
      <w:r w:rsidR="006C7F7C">
        <w:rPr>
          <w:rFonts w:ascii="Arial" w:hAnsi="Arial" w:cs="Arial"/>
        </w:rPr>
        <w:t xml:space="preserve">maintained </w:t>
      </w:r>
      <w:r>
        <w:rPr>
          <w:rFonts w:ascii="Arial" w:hAnsi="Arial" w:cs="Arial"/>
        </w:rPr>
        <w:t>primary and secondary phase</w:t>
      </w:r>
      <w:r w:rsidR="006C7F7C">
        <w:rPr>
          <w:rFonts w:ascii="Arial" w:hAnsi="Arial" w:cs="Arial"/>
        </w:rPr>
        <w:t>s</w:t>
      </w:r>
      <w:r>
        <w:rPr>
          <w:rFonts w:ascii="Arial" w:hAnsi="Arial" w:cs="Arial"/>
        </w:rPr>
        <w:t xml:space="preserve"> unanimously voted to continue de-de</w:t>
      </w:r>
      <w:r w:rsidR="003D76B4">
        <w:rPr>
          <w:rFonts w:ascii="Arial" w:hAnsi="Arial" w:cs="Arial"/>
        </w:rPr>
        <w:t>legating</w:t>
      </w:r>
      <w:r>
        <w:rPr>
          <w:rFonts w:ascii="Arial" w:hAnsi="Arial" w:cs="Arial"/>
        </w:rPr>
        <w:t xml:space="preserve"> </w:t>
      </w:r>
      <w:r w:rsidR="009A3E5D">
        <w:rPr>
          <w:rFonts w:ascii="Arial" w:hAnsi="Arial" w:cs="Arial"/>
        </w:rPr>
        <w:t>some specific budgets in 201</w:t>
      </w:r>
      <w:r w:rsidR="006C7F7C">
        <w:rPr>
          <w:rFonts w:ascii="Arial" w:hAnsi="Arial" w:cs="Arial"/>
        </w:rPr>
        <w:t>7</w:t>
      </w:r>
      <w:r w:rsidR="009A3E5D">
        <w:rPr>
          <w:rFonts w:ascii="Arial" w:hAnsi="Arial" w:cs="Arial"/>
        </w:rPr>
        <w:t>-1</w:t>
      </w:r>
      <w:r w:rsidR="006C7F7C">
        <w:rPr>
          <w:rFonts w:ascii="Arial" w:hAnsi="Arial" w:cs="Arial"/>
        </w:rPr>
        <w:t>8</w:t>
      </w:r>
      <w:r w:rsidR="003D76B4">
        <w:rPr>
          <w:rFonts w:ascii="Arial" w:hAnsi="Arial" w:cs="Arial"/>
        </w:rPr>
        <w:t>.</w:t>
      </w:r>
    </w:p>
    <w:p w:rsidR="003D76B4" w:rsidRDefault="003D76B4" w:rsidP="00FE6A9C">
      <w:pPr>
        <w:rPr>
          <w:rFonts w:ascii="Arial" w:hAnsi="Arial" w:cs="Arial"/>
        </w:rPr>
      </w:pPr>
    </w:p>
    <w:p w:rsidR="00061139" w:rsidRDefault="00061139" w:rsidP="00FE6A9C">
      <w:pPr>
        <w:rPr>
          <w:rFonts w:ascii="Arial" w:hAnsi="Arial" w:cs="Arial"/>
        </w:rPr>
      </w:pPr>
      <w:r>
        <w:rPr>
          <w:rFonts w:ascii="Arial" w:hAnsi="Arial" w:cs="Arial"/>
        </w:rPr>
        <w:t>The ratification of this process took place at the SFF meeting h</w:t>
      </w:r>
      <w:r w:rsidR="003930BF">
        <w:rPr>
          <w:rFonts w:ascii="Arial" w:hAnsi="Arial" w:cs="Arial"/>
        </w:rPr>
        <w:t xml:space="preserve">eld on the </w:t>
      </w:r>
      <w:r w:rsidR="006C7F7C">
        <w:rPr>
          <w:rFonts w:ascii="Arial" w:hAnsi="Arial" w:cs="Arial"/>
        </w:rPr>
        <w:t>9 December 2016</w:t>
      </w:r>
      <w:r>
        <w:rPr>
          <w:rFonts w:ascii="Arial" w:hAnsi="Arial" w:cs="Arial"/>
        </w:rPr>
        <w:t>.</w:t>
      </w:r>
    </w:p>
    <w:p w:rsidR="00061139" w:rsidRDefault="00061139" w:rsidP="00FE6A9C">
      <w:pPr>
        <w:rPr>
          <w:rFonts w:ascii="Arial" w:hAnsi="Arial" w:cs="Arial"/>
        </w:rPr>
      </w:pPr>
    </w:p>
    <w:p w:rsidR="000B5DDF" w:rsidRDefault="000B5DDF" w:rsidP="00FE6A9C">
      <w:pPr>
        <w:rPr>
          <w:rFonts w:ascii="Arial" w:hAnsi="Arial" w:cs="Arial"/>
        </w:rPr>
      </w:pPr>
      <w:r>
        <w:rPr>
          <w:rFonts w:ascii="Arial" w:hAnsi="Arial" w:cs="Arial"/>
        </w:rPr>
        <w:t xml:space="preserve">The budgets where de-delegation applies will be recouped from individual schools in 12 monthly </w:t>
      </w:r>
      <w:r w:rsidR="007471CC">
        <w:rPr>
          <w:rFonts w:ascii="Arial" w:hAnsi="Arial" w:cs="Arial"/>
        </w:rPr>
        <w:t xml:space="preserve">instalments through the schools advances system. </w:t>
      </w:r>
      <w:r w:rsidR="00EB40AB">
        <w:rPr>
          <w:rFonts w:ascii="Arial" w:hAnsi="Arial" w:cs="Arial"/>
        </w:rPr>
        <w:t xml:space="preserve"> </w:t>
      </w:r>
      <w:r w:rsidR="007471CC">
        <w:rPr>
          <w:rFonts w:ascii="Arial" w:hAnsi="Arial" w:cs="Arial"/>
        </w:rPr>
        <w:t>The CFR code</w:t>
      </w:r>
      <w:r w:rsidR="003D76B4">
        <w:rPr>
          <w:rFonts w:ascii="Arial" w:hAnsi="Arial" w:cs="Arial"/>
        </w:rPr>
        <w:t>s</w:t>
      </w:r>
      <w:r w:rsidR="007471CC">
        <w:rPr>
          <w:rFonts w:ascii="Arial" w:hAnsi="Arial" w:cs="Arial"/>
        </w:rPr>
        <w:t xml:space="preserve"> that the recoupment charge will be code</w:t>
      </w:r>
      <w:r w:rsidR="00D04161">
        <w:rPr>
          <w:rFonts w:ascii="Arial" w:hAnsi="Arial" w:cs="Arial"/>
        </w:rPr>
        <w:t>d</w:t>
      </w:r>
      <w:r w:rsidR="007471CC">
        <w:rPr>
          <w:rFonts w:ascii="Arial" w:hAnsi="Arial" w:cs="Arial"/>
        </w:rPr>
        <w:t xml:space="preserve"> against </w:t>
      </w:r>
      <w:r w:rsidR="003D76B4">
        <w:rPr>
          <w:rFonts w:ascii="Arial" w:hAnsi="Arial" w:cs="Arial"/>
        </w:rPr>
        <w:t>are</w:t>
      </w:r>
      <w:r w:rsidR="007471CC">
        <w:rPr>
          <w:rFonts w:ascii="Arial" w:hAnsi="Arial" w:cs="Arial"/>
        </w:rPr>
        <w:t xml:space="preserve"> shown in table below.</w:t>
      </w:r>
    </w:p>
    <w:p w:rsidR="00327D12" w:rsidRDefault="00327D12" w:rsidP="00FE6A9C">
      <w:pPr>
        <w:rPr>
          <w:rFonts w:ascii="Arial" w:hAnsi="Arial" w:cs="Arial"/>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559"/>
        <w:gridCol w:w="1559"/>
        <w:gridCol w:w="1843"/>
      </w:tblGrid>
      <w:tr w:rsidR="009D5FC2" w:rsidRPr="003A5B4D" w:rsidTr="003D76B4">
        <w:tc>
          <w:tcPr>
            <w:tcW w:w="3686" w:type="dxa"/>
            <w:vMerge w:val="restart"/>
          </w:tcPr>
          <w:p w:rsidR="009D5FC2" w:rsidRPr="00EB40AB" w:rsidRDefault="00F375FE" w:rsidP="00FE6A9C">
            <w:pPr>
              <w:rPr>
                <w:rFonts w:ascii="Arial" w:hAnsi="Arial" w:cs="Arial"/>
                <w:sz w:val="22"/>
              </w:rPr>
            </w:pPr>
            <w:r>
              <w:rPr>
                <w:rFonts w:ascii="Arial" w:hAnsi="Arial" w:cs="Arial"/>
                <w:sz w:val="22"/>
              </w:rPr>
              <w:t xml:space="preserve">Budget </w:t>
            </w:r>
            <w:r w:rsidR="009D5FC2" w:rsidRPr="00EB40AB">
              <w:rPr>
                <w:rFonts w:ascii="Arial" w:hAnsi="Arial" w:cs="Arial"/>
                <w:sz w:val="22"/>
              </w:rPr>
              <w:t>Heading</w:t>
            </w:r>
          </w:p>
        </w:tc>
        <w:tc>
          <w:tcPr>
            <w:tcW w:w="3118" w:type="dxa"/>
            <w:gridSpan w:val="2"/>
          </w:tcPr>
          <w:p w:rsidR="009D5FC2" w:rsidRPr="00ED6DDE" w:rsidRDefault="009D5FC2" w:rsidP="006C7F7C">
            <w:pPr>
              <w:jc w:val="center"/>
              <w:rPr>
                <w:rFonts w:ascii="Arial" w:hAnsi="Arial" w:cs="Arial"/>
                <w:sz w:val="22"/>
              </w:rPr>
            </w:pPr>
            <w:r w:rsidRPr="00ED6DDE">
              <w:rPr>
                <w:rFonts w:ascii="Arial" w:hAnsi="Arial" w:cs="Arial"/>
                <w:sz w:val="22"/>
              </w:rPr>
              <w:t xml:space="preserve">Amount </w:t>
            </w:r>
            <w:r w:rsidR="00F375FE">
              <w:rPr>
                <w:rFonts w:ascii="Arial" w:hAnsi="Arial" w:cs="Arial"/>
                <w:sz w:val="22"/>
              </w:rPr>
              <w:t>d</w:t>
            </w:r>
            <w:r w:rsidR="00F375FE" w:rsidRPr="00ED6DDE">
              <w:rPr>
                <w:rFonts w:ascii="Arial" w:hAnsi="Arial" w:cs="Arial"/>
                <w:sz w:val="22"/>
              </w:rPr>
              <w:t>e</w:t>
            </w:r>
            <w:r w:rsidRPr="00ED6DDE">
              <w:rPr>
                <w:rFonts w:ascii="Arial" w:hAnsi="Arial" w:cs="Arial"/>
                <w:sz w:val="22"/>
              </w:rPr>
              <w:t>-delegated per pupil</w:t>
            </w:r>
          </w:p>
        </w:tc>
        <w:tc>
          <w:tcPr>
            <w:tcW w:w="1843" w:type="dxa"/>
            <w:vMerge w:val="restart"/>
          </w:tcPr>
          <w:p w:rsidR="009D5FC2" w:rsidRPr="00ED6DDE" w:rsidRDefault="009D5FC2" w:rsidP="00EB40AB">
            <w:pPr>
              <w:jc w:val="center"/>
              <w:rPr>
                <w:rFonts w:ascii="Arial" w:hAnsi="Arial" w:cs="Arial"/>
                <w:sz w:val="22"/>
              </w:rPr>
            </w:pPr>
            <w:r w:rsidRPr="00ED6DDE">
              <w:rPr>
                <w:rFonts w:ascii="Arial" w:hAnsi="Arial" w:cs="Arial"/>
                <w:sz w:val="22"/>
              </w:rPr>
              <w:t>CFR code</w:t>
            </w:r>
          </w:p>
        </w:tc>
      </w:tr>
      <w:tr w:rsidR="009D5FC2" w:rsidRPr="003A5B4D" w:rsidTr="003D76B4">
        <w:tc>
          <w:tcPr>
            <w:tcW w:w="3686" w:type="dxa"/>
            <w:vMerge/>
          </w:tcPr>
          <w:p w:rsidR="009D5FC2" w:rsidRPr="00EB40AB" w:rsidRDefault="009D5FC2" w:rsidP="000B5DDF">
            <w:pPr>
              <w:rPr>
                <w:rFonts w:ascii="Arial" w:hAnsi="Arial" w:cs="Arial"/>
                <w:sz w:val="22"/>
              </w:rPr>
            </w:pPr>
          </w:p>
        </w:tc>
        <w:tc>
          <w:tcPr>
            <w:tcW w:w="1559" w:type="dxa"/>
          </w:tcPr>
          <w:p w:rsidR="009D5FC2" w:rsidRPr="00ED6DDE" w:rsidRDefault="009D5FC2" w:rsidP="00EB40AB">
            <w:pPr>
              <w:jc w:val="center"/>
              <w:rPr>
                <w:rFonts w:ascii="Arial" w:hAnsi="Arial" w:cs="Arial"/>
                <w:sz w:val="22"/>
              </w:rPr>
            </w:pPr>
            <w:r w:rsidRPr="00ED6DDE">
              <w:rPr>
                <w:rFonts w:ascii="Arial" w:hAnsi="Arial" w:cs="Arial"/>
                <w:sz w:val="22"/>
              </w:rPr>
              <w:t>Primary</w:t>
            </w:r>
          </w:p>
        </w:tc>
        <w:tc>
          <w:tcPr>
            <w:tcW w:w="1559" w:type="dxa"/>
          </w:tcPr>
          <w:p w:rsidR="009D5FC2" w:rsidRPr="00ED6DDE" w:rsidRDefault="009D5FC2" w:rsidP="00EB40AB">
            <w:pPr>
              <w:jc w:val="center"/>
              <w:rPr>
                <w:rFonts w:ascii="Arial" w:hAnsi="Arial" w:cs="Arial"/>
                <w:sz w:val="22"/>
              </w:rPr>
            </w:pPr>
            <w:r w:rsidRPr="00ED6DDE">
              <w:rPr>
                <w:rFonts w:ascii="Arial" w:hAnsi="Arial" w:cs="Arial"/>
                <w:sz w:val="22"/>
              </w:rPr>
              <w:t>Secondary</w:t>
            </w:r>
          </w:p>
        </w:tc>
        <w:tc>
          <w:tcPr>
            <w:tcW w:w="1843" w:type="dxa"/>
            <w:vMerge/>
          </w:tcPr>
          <w:p w:rsidR="009D5FC2" w:rsidRPr="00ED6DDE" w:rsidRDefault="009D5FC2" w:rsidP="00FE6A9C">
            <w:pPr>
              <w:rPr>
                <w:rFonts w:ascii="Arial" w:hAnsi="Arial" w:cs="Arial"/>
                <w:sz w:val="22"/>
              </w:rPr>
            </w:pPr>
          </w:p>
        </w:tc>
      </w:tr>
      <w:tr w:rsidR="009D5FC2" w:rsidRPr="003A5B4D" w:rsidTr="00B15EE8">
        <w:tc>
          <w:tcPr>
            <w:tcW w:w="3686" w:type="dxa"/>
            <w:vAlign w:val="center"/>
          </w:tcPr>
          <w:p w:rsidR="009D5FC2" w:rsidRPr="00D04161" w:rsidRDefault="009D5FC2" w:rsidP="00EB40AB">
            <w:pPr>
              <w:rPr>
                <w:rFonts w:ascii="Arial" w:hAnsi="Arial" w:cs="Arial"/>
                <w:color w:val="000000"/>
                <w:sz w:val="22"/>
              </w:rPr>
            </w:pPr>
            <w:r w:rsidRPr="00EB40AB">
              <w:rPr>
                <w:rFonts w:ascii="Arial" w:hAnsi="Arial" w:cs="Arial"/>
                <w:color w:val="000000"/>
                <w:sz w:val="22"/>
              </w:rPr>
              <w:t>Schools in Financial Difficulties</w:t>
            </w:r>
          </w:p>
        </w:tc>
        <w:tc>
          <w:tcPr>
            <w:tcW w:w="1559" w:type="dxa"/>
            <w:vAlign w:val="center"/>
          </w:tcPr>
          <w:p w:rsidR="009D5FC2" w:rsidRPr="00D04161" w:rsidRDefault="009D5FC2" w:rsidP="00B15EE8">
            <w:pPr>
              <w:jc w:val="center"/>
              <w:rPr>
                <w:rFonts w:ascii="Arial" w:hAnsi="Arial" w:cs="Arial"/>
                <w:color w:val="000000"/>
                <w:sz w:val="22"/>
              </w:rPr>
            </w:pPr>
            <w:r w:rsidRPr="00D04161">
              <w:rPr>
                <w:rFonts w:ascii="Arial" w:hAnsi="Arial" w:cs="Arial"/>
                <w:color w:val="000000"/>
                <w:sz w:val="22"/>
              </w:rPr>
              <w:t>£18.81</w:t>
            </w:r>
          </w:p>
        </w:tc>
        <w:tc>
          <w:tcPr>
            <w:tcW w:w="1559" w:type="dxa"/>
            <w:vAlign w:val="center"/>
          </w:tcPr>
          <w:p w:rsidR="009D5FC2" w:rsidRPr="00D04161" w:rsidRDefault="009D5FC2" w:rsidP="00B15EE8">
            <w:pPr>
              <w:jc w:val="center"/>
              <w:rPr>
                <w:rFonts w:ascii="Arial" w:hAnsi="Arial" w:cs="Arial"/>
                <w:color w:val="000000"/>
                <w:sz w:val="22"/>
              </w:rPr>
            </w:pPr>
            <w:r w:rsidRPr="00D04161">
              <w:rPr>
                <w:rFonts w:ascii="Arial" w:hAnsi="Arial" w:cs="Arial"/>
                <w:color w:val="000000"/>
                <w:sz w:val="22"/>
              </w:rPr>
              <w:t>£9.45</w:t>
            </w:r>
          </w:p>
        </w:tc>
        <w:tc>
          <w:tcPr>
            <w:tcW w:w="1843" w:type="dxa"/>
            <w:shd w:val="clear" w:color="auto" w:fill="auto"/>
            <w:vAlign w:val="center"/>
          </w:tcPr>
          <w:p w:rsidR="009D5FC2" w:rsidRPr="00D04161" w:rsidRDefault="009D5FC2" w:rsidP="006C7F7C">
            <w:pPr>
              <w:jc w:val="center"/>
              <w:rPr>
                <w:rFonts w:ascii="Arial" w:hAnsi="Arial" w:cs="Arial"/>
                <w:color w:val="000000"/>
                <w:sz w:val="22"/>
              </w:rPr>
            </w:pPr>
            <w:r w:rsidRPr="00D04161">
              <w:rPr>
                <w:rFonts w:ascii="Arial" w:hAnsi="Arial" w:cs="Arial"/>
                <w:color w:val="000000"/>
                <w:sz w:val="22"/>
              </w:rPr>
              <w:t>E23</w:t>
            </w:r>
          </w:p>
        </w:tc>
      </w:tr>
      <w:tr w:rsidR="009D5FC2" w:rsidRPr="003A5B4D" w:rsidTr="00B15EE8">
        <w:tc>
          <w:tcPr>
            <w:tcW w:w="3686" w:type="dxa"/>
            <w:vAlign w:val="center"/>
          </w:tcPr>
          <w:p w:rsidR="009D5FC2" w:rsidRPr="00EB40AB" w:rsidRDefault="009D5FC2" w:rsidP="00EB40AB">
            <w:pPr>
              <w:rPr>
                <w:rFonts w:ascii="Arial" w:hAnsi="Arial" w:cs="Arial"/>
                <w:color w:val="000000"/>
                <w:sz w:val="22"/>
              </w:rPr>
            </w:pPr>
            <w:r w:rsidRPr="00EB40AB">
              <w:rPr>
                <w:rFonts w:ascii="Arial" w:hAnsi="Arial" w:cs="Arial"/>
                <w:color w:val="000000"/>
                <w:sz w:val="22"/>
              </w:rPr>
              <w:t>Free School Meals Eligibility</w:t>
            </w:r>
          </w:p>
          <w:p w:rsidR="009D5FC2" w:rsidRPr="00EB40AB" w:rsidRDefault="009D5FC2" w:rsidP="00EB40AB">
            <w:pPr>
              <w:rPr>
                <w:rFonts w:ascii="Arial" w:hAnsi="Arial" w:cs="Arial"/>
                <w:sz w:val="22"/>
              </w:rPr>
            </w:pP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£0.57</w:t>
            </w: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£0.57</w:t>
            </w:r>
          </w:p>
        </w:tc>
        <w:tc>
          <w:tcPr>
            <w:tcW w:w="1843" w:type="dxa"/>
            <w:vAlign w:val="center"/>
          </w:tcPr>
          <w:p w:rsidR="009D5FC2" w:rsidRPr="00ED6DDE" w:rsidRDefault="009D5FC2" w:rsidP="00757CC5">
            <w:pPr>
              <w:jc w:val="center"/>
              <w:rPr>
                <w:rFonts w:ascii="Arial" w:hAnsi="Arial" w:cs="Arial"/>
                <w:sz w:val="22"/>
              </w:rPr>
            </w:pPr>
            <w:r w:rsidRPr="00ED6DDE">
              <w:rPr>
                <w:rFonts w:ascii="Arial" w:hAnsi="Arial" w:cs="Arial"/>
                <w:sz w:val="22"/>
              </w:rPr>
              <w:t>E28</w:t>
            </w:r>
          </w:p>
        </w:tc>
      </w:tr>
      <w:tr w:rsidR="009D5FC2" w:rsidRPr="003A5B4D" w:rsidTr="00B15EE8">
        <w:tc>
          <w:tcPr>
            <w:tcW w:w="3686" w:type="dxa"/>
            <w:vAlign w:val="center"/>
          </w:tcPr>
          <w:p w:rsidR="009D5FC2" w:rsidRPr="00EB40AB" w:rsidRDefault="003D76B4" w:rsidP="00EB40AB">
            <w:pPr>
              <w:rPr>
                <w:rFonts w:ascii="Arial" w:hAnsi="Arial" w:cs="Arial"/>
                <w:color w:val="000000"/>
                <w:sz w:val="22"/>
              </w:rPr>
            </w:pPr>
            <w:r>
              <w:rPr>
                <w:rFonts w:ascii="Arial" w:hAnsi="Arial" w:cs="Arial"/>
                <w:color w:val="000000"/>
                <w:sz w:val="22"/>
              </w:rPr>
              <w:t>L</w:t>
            </w:r>
            <w:r w:rsidR="009D5FC2" w:rsidRPr="00EB40AB">
              <w:rPr>
                <w:rFonts w:ascii="Arial" w:hAnsi="Arial" w:cs="Arial"/>
                <w:color w:val="000000"/>
                <w:sz w:val="22"/>
              </w:rPr>
              <w:t>icences and Subscriptions (SIMs)</w:t>
            </w:r>
          </w:p>
          <w:p w:rsidR="009D5FC2" w:rsidRPr="00EB40AB" w:rsidRDefault="009D5FC2" w:rsidP="00EB40AB">
            <w:pPr>
              <w:rPr>
                <w:rFonts w:ascii="Arial" w:hAnsi="Arial" w:cs="Arial"/>
                <w:sz w:val="22"/>
              </w:rPr>
            </w:pP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£3.63</w:t>
            </w: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£3.63</w:t>
            </w:r>
          </w:p>
        </w:tc>
        <w:tc>
          <w:tcPr>
            <w:tcW w:w="1843" w:type="dxa"/>
            <w:vAlign w:val="center"/>
          </w:tcPr>
          <w:p w:rsidR="009D5FC2" w:rsidRPr="00ED6DDE" w:rsidRDefault="009D5FC2" w:rsidP="006C7F7C">
            <w:pPr>
              <w:jc w:val="center"/>
              <w:rPr>
                <w:rFonts w:ascii="Arial" w:hAnsi="Arial" w:cs="Arial"/>
                <w:sz w:val="22"/>
              </w:rPr>
            </w:pPr>
            <w:r w:rsidRPr="00ED6DDE">
              <w:rPr>
                <w:rFonts w:ascii="Arial" w:hAnsi="Arial" w:cs="Arial"/>
                <w:sz w:val="22"/>
              </w:rPr>
              <w:t>E</w:t>
            </w:r>
            <w:r w:rsidR="006C7F7C">
              <w:rPr>
                <w:rFonts w:ascii="Arial" w:hAnsi="Arial" w:cs="Arial"/>
                <w:sz w:val="22"/>
              </w:rPr>
              <w:t>1</w:t>
            </w:r>
            <w:r w:rsidRPr="00ED6DDE">
              <w:rPr>
                <w:rFonts w:ascii="Arial" w:hAnsi="Arial" w:cs="Arial"/>
                <w:sz w:val="22"/>
              </w:rPr>
              <w:t>9</w:t>
            </w:r>
          </w:p>
        </w:tc>
      </w:tr>
      <w:tr w:rsidR="009D5FC2" w:rsidRPr="003A5B4D" w:rsidTr="00B15EE8">
        <w:tc>
          <w:tcPr>
            <w:tcW w:w="3686" w:type="dxa"/>
            <w:vAlign w:val="center"/>
          </w:tcPr>
          <w:p w:rsidR="009D5FC2" w:rsidRPr="00EB40AB" w:rsidRDefault="009D5FC2" w:rsidP="00EB40AB">
            <w:pPr>
              <w:rPr>
                <w:rFonts w:ascii="Arial" w:hAnsi="Arial" w:cs="Arial"/>
                <w:color w:val="000000"/>
                <w:sz w:val="22"/>
              </w:rPr>
            </w:pPr>
            <w:r w:rsidRPr="00EB40AB">
              <w:rPr>
                <w:rFonts w:ascii="Arial" w:hAnsi="Arial" w:cs="Arial"/>
                <w:color w:val="000000"/>
                <w:sz w:val="22"/>
              </w:rPr>
              <w:t>Trade Union Duties</w:t>
            </w:r>
          </w:p>
          <w:p w:rsidR="009D5FC2" w:rsidRPr="00EB40AB" w:rsidRDefault="009D5FC2" w:rsidP="00EB40AB">
            <w:pPr>
              <w:rPr>
                <w:rFonts w:ascii="Arial" w:hAnsi="Arial" w:cs="Arial"/>
                <w:sz w:val="22"/>
              </w:rPr>
            </w:pP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£1.85</w:t>
            </w: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£1.85</w:t>
            </w:r>
          </w:p>
        </w:tc>
        <w:tc>
          <w:tcPr>
            <w:tcW w:w="1843" w:type="dxa"/>
            <w:vAlign w:val="center"/>
          </w:tcPr>
          <w:p w:rsidR="009D5FC2" w:rsidRPr="00ED6DDE" w:rsidRDefault="009D5FC2" w:rsidP="00757CC5">
            <w:pPr>
              <w:jc w:val="center"/>
              <w:rPr>
                <w:rFonts w:ascii="Arial" w:hAnsi="Arial" w:cs="Arial"/>
                <w:sz w:val="22"/>
              </w:rPr>
            </w:pPr>
            <w:r w:rsidRPr="00ED6DDE">
              <w:rPr>
                <w:rFonts w:ascii="Arial" w:hAnsi="Arial" w:cs="Arial"/>
                <w:sz w:val="22"/>
              </w:rPr>
              <w:t>E10</w:t>
            </w:r>
          </w:p>
        </w:tc>
      </w:tr>
      <w:tr w:rsidR="009D5FC2" w:rsidRPr="003A5B4D" w:rsidTr="00B15EE8">
        <w:tc>
          <w:tcPr>
            <w:tcW w:w="3686" w:type="dxa"/>
            <w:vAlign w:val="center"/>
          </w:tcPr>
          <w:p w:rsidR="009D5FC2" w:rsidRPr="00EB40AB" w:rsidRDefault="009D5FC2" w:rsidP="00EB40AB">
            <w:pPr>
              <w:rPr>
                <w:rFonts w:ascii="Arial" w:hAnsi="Arial" w:cs="Arial"/>
                <w:color w:val="000000"/>
                <w:sz w:val="22"/>
              </w:rPr>
            </w:pPr>
            <w:r w:rsidRPr="00EB40AB">
              <w:rPr>
                <w:rFonts w:ascii="Arial" w:hAnsi="Arial" w:cs="Arial"/>
                <w:color w:val="000000"/>
                <w:sz w:val="22"/>
              </w:rPr>
              <w:t>Schools Personnel Services</w:t>
            </w:r>
          </w:p>
          <w:p w:rsidR="009D5FC2" w:rsidRPr="00EB40AB" w:rsidRDefault="009D5FC2" w:rsidP="00EB40AB">
            <w:pPr>
              <w:rPr>
                <w:rFonts w:ascii="Arial" w:hAnsi="Arial" w:cs="Arial"/>
                <w:sz w:val="22"/>
              </w:rPr>
            </w:pP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£0.80</w:t>
            </w: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£0.80</w:t>
            </w:r>
          </w:p>
        </w:tc>
        <w:tc>
          <w:tcPr>
            <w:tcW w:w="1843" w:type="dxa"/>
            <w:vAlign w:val="center"/>
          </w:tcPr>
          <w:p w:rsidR="009D5FC2" w:rsidRPr="00ED6DDE" w:rsidRDefault="009D5FC2" w:rsidP="00757CC5">
            <w:pPr>
              <w:jc w:val="center"/>
              <w:rPr>
                <w:rFonts w:ascii="Arial" w:hAnsi="Arial" w:cs="Arial"/>
                <w:sz w:val="22"/>
              </w:rPr>
            </w:pPr>
            <w:r w:rsidRPr="00ED6DDE">
              <w:rPr>
                <w:rFonts w:ascii="Arial" w:hAnsi="Arial" w:cs="Arial"/>
                <w:sz w:val="22"/>
              </w:rPr>
              <w:t>E28</w:t>
            </w:r>
          </w:p>
        </w:tc>
      </w:tr>
      <w:tr w:rsidR="009D5FC2" w:rsidRPr="003A5B4D" w:rsidTr="00B15EE8">
        <w:tc>
          <w:tcPr>
            <w:tcW w:w="3686" w:type="dxa"/>
          </w:tcPr>
          <w:p w:rsidR="009D5FC2" w:rsidRPr="00EB40AB" w:rsidRDefault="009D5FC2" w:rsidP="00FE6A9C">
            <w:pPr>
              <w:rPr>
                <w:rFonts w:ascii="Arial" w:hAnsi="Arial" w:cs="Arial"/>
                <w:b/>
                <w:sz w:val="22"/>
              </w:rPr>
            </w:pPr>
            <w:r w:rsidRPr="00EB40AB">
              <w:rPr>
                <w:rFonts w:ascii="Arial" w:hAnsi="Arial" w:cs="Arial"/>
                <w:b/>
                <w:sz w:val="22"/>
              </w:rPr>
              <w:t>Total amount per pupil</w:t>
            </w:r>
          </w:p>
        </w:tc>
        <w:tc>
          <w:tcPr>
            <w:tcW w:w="1559" w:type="dxa"/>
            <w:vAlign w:val="center"/>
          </w:tcPr>
          <w:p w:rsidR="009D5FC2" w:rsidRPr="00EB40AB" w:rsidRDefault="009D5FC2" w:rsidP="00B15EE8">
            <w:pPr>
              <w:jc w:val="center"/>
              <w:rPr>
                <w:rFonts w:ascii="Arial" w:hAnsi="Arial" w:cs="Arial"/>
                <w:b/>
                <w:sz w:val="22"/>
              </w:rPr>
            </w:pPr>
            <w:r w:rsidRPr="00970E07">
              <w:rPr>
                <w:rFonts w:ascii="Arial" w:hAnsi="Arial" w:cs="Arial"/>
                <w:b/>
                <w:sz w:val="22"/>
              </w:rPr>
              <w:t>£</w:t>
            </w:r>
            <w:r w:rsidR="00970E07">
              <w:rPr>
                <w:rFonts w:ascii="Arial" w:hAnsi="Arial" w:cs="Arial"/>
                <w:b/>
                <w:sz w:val="22"/>
              </w:rPr>
              <w:t>25.66</w:t>
            </w:r>
          </w:p>
        </w:tc>
        <w:tc>
          <w:tcPr>
            <w:tcW w:w="1559" w:type="dxa"/>
            <w:vAlign w:val="center"/>
          </w:tcPr>
          <w:p w:rsidR="009D5FC2" w:rsidRPr="00EB40AB" w:rsidRDefault="00970E07" w:rsidP="00B15EE8">
            <w:pPr>
              <w:jc w:val="center"/>
              <w:rPr>
                <w:rFonts w:ascii="Arial" w:hAnsi="Arial" w:cs="Arial"/>
                <w:b/>
                <w:sz w:val="22"/>
              </w:rPr>
            </w:pPr>
            <w:r>
              <w:rPr>
                <w:rFonts w:ascii="Arial" w:hAnsi="Arial" w:cs="Arial"/>
                <w:b/>
                <w:sz w:val="22"/>
              </w:rPr>
              <w:t>£16.30</w:t>
            </w:r>
          </w:p>
        </w:tc>
        <w:tc>
          <w:tcPr>
            <w:tcW w:w="1843" w:type="dxa"/>
          </w:tcPr>
          <w:p w:rsidR="009D5FC2" w:rsidRPr="00EB40AB" w:rsidRDefault="009D5FC2" w:rsidP="00FE6A9C">
            <w:pPr>
              <w:rPr>
                <w:rFonts w:ascii="Arial" w:hAnsi="Arial" w:cs="Arial"/>
                <w:sz w:val="22"/>
              </w:rPr>
            </w:pPr>
          </w:p>
        </w:tc>
      </w:tr>
    </w:tbl>
    <w:p w:rsidR="001662DC" w:rsidRDefault="001662DC" w:rsidP="00092C1F">
      <w:pPr>
        <w:rPr>
          <w:rFonts w:ascii="Arial" w:hAnsi="Arial" w:cs="Arial"/>
          <w:b/>
          <w:u w:val="single"/>
        </w:rPr>
      </w:pPr>
      <w:bookmarkStart w:id="16" w:name="SectionD6F"/>
    </w:p>
    <w:p w:rsidR="007C287D" w:rsidRPr="007C287D" w:rsidRDefault="007C287D" w:rsidP="00092C1F">
      <w:pPr>
        <w:rPr>
          <w:rFonts w:ascii="Arial" w:hAnsi="Arial" w:cs="Arial"/>
          <w:b/>
          <w:u w:val="single"/>
        </w:rPr>
      </w:pPr>
      <w:r w:rsidRPr="007C287D">
        <w:rPr>
          <w:rFonts w:ascii="Arial" w:hAnsi="Arial" w:cs="Arial"/>
          <w:b/>
          <w:u w:val="single"/>
        </w:rPr>
        <w:t xml:space="preserve">Post 16 </w:t>
      </w:r>
      <w:r w:rsidR="00BE62CC">
        <w:rPr>
          <w:rFonts w:ascii="Arial" w:hAnsi="Arial" w:cs="Arial"/>
          <w:b/>
          <w:u w:val="single"/>
        </w:rPr>
        <w:t>/ 6</w:t>
      </w:r>
      <w:r w:rsidR="00BE62CC" w:rsidRPr="00BE62CC">
        <w:rPr>
          <w:rFonts w:ascii="Arial" w:hAnsi="Arial" w:cs="Arial"/>
          <w:b/>
          <w:u w:val="single"/>
          <w:vertAlign w:val="superscript"/>
        </w:rPr>
        <w:t>th</w:t>
      </w:r>
      <w:r w:rsidR="00BE62CC">
        <w:rPr>
          <w:rFonts w:ascii="Arial" w:hAnsi="Arial" w:cs="Arial"/>
          <w:b/>
          <w:u w:val="single"/>
        </w:rPr>
        <w:t xml:space="preserve"> Form </w:t>
      </w:r>
      <w:r w:rsidRPr="007C287D">
        <w:rPr>
          <w:rFonts w:ascii="Arial" w:hAnsi="Arial" w:cs="Arial"/>
          <w:b/>
          <w:u w:val="single"/>
        </w:rPr>
        <w:t>Funding</w:t>
      </w:r>
    </w:p>
    <w:bookmarkEnd w:id="16"/>
    <w:p w:rsidR="00B21C56" w:rsidRDefault="007C287D" w:rsidP="00974237">
      <w:pPr>
        <w:spacing w:before="120"/>
        <w:rPr>
          <w:rFonts w:ascii="Arial" w:hAnsi="Arial" w:cs="Arial"/>
        </w:rPr>
      </w:pPr>
      <w:r w:rsidRPr="00137769">
        <w:rPr>
          <w:rFonts w:ascii="Arial" w:hAnsi="Arial" w:cs="Arial"/>
        </w:rPr>
        <w:t>At the time of writing this guidance</w:t>
      </w:r>
      <w:r w:rsidR="00BE62CC" w:rsidRPr="00137769">
        <w:rPr>
          <w:rFonts w:ascii="Arial" w:hAnsi="Arial" w:cs="Arial"/>
        </w:rPr>
        <w:t>,</w:t>
      </w:r>
      <w:r w:rsidRPr="00137769">
        <w:rPr>
          <w:rFonts w:ascii="Arial" w:hAnsi="Arial" w:cs="Arial"/>
        </w:rPr>
        <w:t xml:space="preserve"> the E</w:t>
      </w:r>
      <w:r w:rsidR="00BE62CC" w:rsidRPr="00137769">
        <w:rPr>
          <w:rFonts w:ascii="Arial" w:hAnsi="Arial" w:cs="Arial"/>
        </w:rPr>
        <w:t xml:space="preserve">ducation </w:t>
      </w:r>
      <w:r w:rsidRPr="00137769">
        <w:rPr>
          <w:rFonts w:ascii="Arial" w:hAnsi="Arial" w:cs="Arial"/>
        </w:rPr>
        <w:t>F</w:t>
      </w:r>
      <w:r w:rsidR="00BE62CC" w:rsidRPr="00137769">
        <w:rPr>
          <w:rFonts w:ascii="Arial" w:hAnsi="Arial" w:cs="Arial"/>
        </w:rPr>
        <w:t xml:space="preserve">unding </w:t>
      </w:r>
      <w:r w:rsidRPr="00137769">
        <w:rPr>
          <w:rFonts w:ascii="Arial" w:hAnsi="Arial" w:cs="Arial"/>
        </w:rPr>
        <w:t>A</w:t>
      </w:r>
      <w:r w:rsidR="00BE62CC" w:rsidRPr="00137769">
        <w:rPr>
          <w:rFonts w:ascii="Arial" w:hAnsi="Arial" w:cs="Arial"/>
        </w:rPr>
        <w:t>gency (EFA)</w:t>
      </w:r>
      <w:r w:rsidRPr="00137769">
        <w:rPr>
          <w:rFonts w:ascii="Arial" w:hAnsi="Arial" w:cs="Arial"/>
        </w:rPr>
        <w:t xml:space="preserve"> </w:t>
      </w:r>
      <w:r w:rsidR="00BE62CC" w:rsidRPr="00137769">
        <w:rPr>
          <w:rFonts w:ascii="Arial" w:hAnsi="Arial" w:cs="Arial"/>
        </w:rPr>
        <w:t>ha</w:t>
      </w:r>
      <w:r w:rsidR="00137769" w:rsidRPr="00137769">
        <w:rPr>
          <w:rFonts w:ascii="Arial" w:hAnsi="Arial" w:cs="Arial"/>
        </w:rPr>
        <w:t>ve</w:t>
      </w:r>
      <w:r w:rsidR="00BE62CC" w:rsidRPr="00137769">
        <w:rPr>
          <w:rFonts w:ascii="Arial" w:hAnsi="Arial" w:cs="Arial"/>
        </w:rPr>
        <w:t xml:space="preserve"> </w:t>
      </w:r>
      <w:r w:rsidRPr="00137769">
        <w:rPr>
          <w:rFonts w:ascii="Arial" w:hAnsi="Arial" w:cs="Arial"/>
        </w:rPr>
        <w:t xml:space="preserve">not </w:t>
      </w:r>
      <w:r w:rsidR="00137769" w:rsidRPr="00137769">
        <w:rPr>
          <w:rFonts w:ascii="Arial" w:hAnsi="Arial" w:cs="Arial"/>
        </w:rPr>
        <w:t xml:space="preserve">finalised </w:t>
      </w:r>
      <w:r w:rsidR="00BE62CC" w:rsidRPr="00137769">
        <w:rPr>
          <w:rFonts w:ascii="Arial" w:hAnsi="Arial" w:cs="Arial"/>
        </w:rPr>
        <w:t xml:space="preserve">post </w:t>
      </w:r>
      <w:r w:rsidRPr="00137769">
        <w:rPr>
          <w:rFonts w:ascii="Arial" w:hAnsi="Arial" w:cs="Arial"/>
        </w:rPr>
        <w:t xml:space="preserve">16 budgets. </w:t>
      </w:r>
      <w:r w:rsidR="00BE62CC" w:rsidRPr="00137769">
        <w:rPr>
          <w:rFonts w:ascii="Arial" w:hAnsi="Arial" w:cs="Arial"/>
        </w:rPr>
        <w:t xml:space="preserve"> </w:t>
      </w:r>
      <w:r w:rsidRPr="00137769">
        <w:rPr>
          <w:rFonts w:ascii="Arial" w:hAnsi="Arial" w:cs="Arial"/>
        </w:rPr>
        <w:t>On receipt of this information</w:t>
      </w:r>
      <w:r w:rsidR="00BE62CC" w:rsidRPr="00137769">
        <w:rPr>
          <w:rFonts w:ascii="Arial" w:hAnsi="Arial" w:cs="Arial"/>
        </w:rPr>
        <w:t>,</w:t>
      </w:r>
      <w:r w:rsidRPr="00137769">
        <w:rPr>
          <w:rFonts w:ascii="Arial" w:hAnsi="Arial" w:cs="Arial"/>
        </w:rPr>
        <w:t xml:space="preserve"> due for release by the EFA </w:t>
      </w:r>
      <w:r w:rsidR="007C2A85" w:rsidRPr="00137769">
        <w:rPr>
          <w:rFonts w:ascii="Arial" w:hAnsi="Arial" w:cs="Arial"/>
        </w:rPr>
        <w:t>sometime in March</w:t>
      </w:r>
      <w:r w:rsidR="00BE62CC" w:rsidRPr="00137769">
        <w:rPr>
          <w:rFonts w:ascii="Arial" w:hAnsi="Arial" w:cs="Arial"/>
        </w:rPr>
        <w:t>,</w:t>
      </w:r>
      <w:r w:rsidR="005C7FBB" w:rsidRPr="00137769">
        <w:rPr>
          <w:rFonts w:ascii="Arial" w:hAnsi="Arial" w:cs="Arial"/>
        </w:rPr>
        <w:t xml:space="preserve"> schools will need to manually record this</w:t>
      </w:r>
      <w:r w:rsidR="003D76B4" w:rsidRPr="00137769">
        <w:rPr>
          <w:rFonts w:ascii="Arial" w:hAnsi="Arial" w:cs="Arial"/>
        </w:rPr>
        <w:t xml:space="preserve"> information</w:t>
      </w:r>
      <w:r w:rsidR="005C7FBB" w:rsidRPr="00137769">
        <w:rPr>
          <w:rFonts w:ascii="Arial" w:hAnsi="Arial" w:cs="Arial"/>
        </w:rPr>
        <w:t xml:space="preserve"> on their 3 </w:t>
      </w:r>
      <w:r w:rsidR="00BE62CC" w:rsidRPr="00137769">
        <w:rPr>
          <w:rFonts w:ascii="Arial" w:hAnsi="Arial" w:cs="Arial"/>
        </w:rPr>
        <w:t xml:space="preserve">year </w:t>
      </w:r>
      <w:r w:rsidR="003D76B4" w:rsidRPr="00137769">
        <w:rPr>
          <w:rFonts w:ascii="Arial" w:hAnsi="Arial" w:cs="Arial"/>
        </w:rPr>
        <w:t xml:space="preserve">financial </w:t>
      </w:r>
      <w:r w:rsidR="005C7FBB" w:rsidRPr="00137769">
        <w:rPr>
          <w:rFonts w:ascii="Arial" w:hAnsi="Arial" w:cs="Arial"/>
        </w:rPr>
        <w:t>plan</w:t>
      </w:r>
      <w:r w:rsidR="00BE62CC" w:rsidRPr="00137769">
        <w:rPr>
          <w:rFonts w:ascii="Arial" w:hAnsi="Arial" w:cs="Arial"/>
        </w:rPr>
        <w:t>s</w:t>
      </w:r>
      <w:r w:rsidR="005C7FBB" w:rsidRPr="00137769">
        <w:rPr>
          <w:rFonts w:ascii="Arial" w:hAnsi="Arial" w:cs="Arial"/>
        </w:rPr>
        <w:t>.</w:t>
      </w:r>
      <w:r w:rsidR="005C7FBB">
        <w:rPr>
          <w:rFonts w:ascii="Arial" w:hAnsi="Arial" w:cs="Arial"/>
        </w:rPr>
        <w:t xml:space="preserve"> </w:t>
      </w:r>
      <w:r w:rsidR="00BE62CC">
        <w:rPr>
          <w:rFonts w:ascii="Arial" w:hAnsi="Arial" w:cs="Arial"/>
        </w:rPr>
        <w:t xml:space="preserve"> </w:t>
      </w:r>
    </w:p>
    <w:p w:rsidR="00BE62CC" w:rsidRDefault="00BE62CC" w:rsidP="00092C1F">
      <w:pPr>
        <w:rPr>
          <w:rFonts w:ascii="Arial" w:hAnsi="Arial" w:cs="Arial"/>
        </w:rPr>
      </w:pPr>
    </w:p>
    <w:p w:rsidR="005B17FD" w:rsidRDefault="005B17FD" w:rsidP="00092C1F">
      <w:pPr>
        <w:rPr>
          <w:rFonts w:ascii="Arial" w:hAnsi="Arial" w:cs="Arial"/>
        </w:rPr>
      </w:pPr>
    </w:p>
    <w:p w:rsidR="00D33E05" w:rsidRDefault="00D33E05" w:rsidP="00092C1F">
      <w:pPr>
        <w:rPr>
          <w:rFonts w:ascii="Arial" w:hAnsi="Arial" w:cs="Arial"/>
          <w:b/>
          <w:u w:val="single"/>
        </w:rPr>
      </w:pPr>
      <w:bookmarkStart w:id="17" w:name="SectionDGrowth"/>
      <w:r w:rsidRPr="00D33E05">
        <w:rPr>
          <w:rFonts w:ascii="Arial" w:hAnsi="Arial" w:cs="Arial"/>
          <w:b/>
          <w:u w:val="single"/>
        </w:rPr>
        <w:t>Pupil Growth</w:t>
      </w:r>
    </w:p>
    <w:p w:rsidR="009A3E5D" w:rsidRDefault="009A3E5D" w:rsidP="00974237">
      <w:pPr>
        <w:spacing w:before="120"/>
        <w:rPr>
          <w:rFonts w:ascii="Arial" w:hAnsi="Arial" w:cs="Arial"/>
        </w:rPr>
      </w:pPr>
      <w:r>
        <w:rPr>
          <w:rFonts w:ascii="Arial" w:hAnsi="Arial" w:cs="Arial"/>
        </w:rPr>
        <w:t xml:space="preserve">At the SFF meeting on the </w:t>
      </w:r>
      <w:r w:rsidR="00101042">
        <w:rPr>
          <w:rFonts w:ascii="Arial" w:hAnsi="Arial" w:cs="Arial"/>
        </w:rPr>
        <w:t>9 December</w:t>
      </w:r>
      <w:r w:rsidR="006C7F7C">
        <w:rPr>
          <w:rFonts w:ascii="Arial" w:hAnsi="Arial" w:cs="Arial"/>
        </w:rPr>
        <w:t xml:space="preserve"> 2017</w:t>
      </w:r>
      <w:r>
        <w:rPr>
          <w:rFonts w:ascii="Arial" w:hAnsi="Arial" w:cs="Arial"/>
        </w:rPr>
        <w:t xml:space="preserve">, members of the </w:t>
      </w:r>
      <w:r w:rsidR="00D21510">
        <w:rPr>
          <w:rFonts w:ascii="Arial" w:hAnsi="Arial" w:cs="Arial"/>
        </w:rPr>
        <w:t xml:space="preserve">Forum </w:t>
      </w:r>
      <w:r>
        <w:rPr>
          <w:rFonts w:ascii="Arial" w:hAnsi="Arial" w:cs="Arial"/>
        </w:rPr>
        <w:t>ratified the LAs growth funding po</w:t>
      </w:r>
      <w:r w:rsidR="00101042">
        <w:rPr>
          <w:rFonts w:ascii="Arial" w:hAnsi="Arial" w:cs="Arial"/>
        </w:rPr>
        <w:t>licy for 2017-18</w:t>
      </w:r>
      <w:r>
        <w:rPr>
          <w:rFonts w:ascii="Arial" w:hAnsi="Arial" w:cs="Arial"/>
        </w:rPr>
        <w:t xml:space="preserve">. </w:t>
      </w:r>
      <w:r w:rsidR="006C7F7C">
        <w:rPr>
          <w:rFonts w:ascii="Arial" w:hAnsi="Arial" w:cs="Arial"/>
        </w:rPr>
        <w:t xml:space="preserve"> </w:t>
      </w:r>
      <w:r>
        <w:rPr>
          <w:rFonts w:ascii="Arial" w:hAnsi="Arial" w:cs="Arial"/>
        </w:rPr>
        <w:t>In summary</w:t>
      </w:r>
      <w:r w:rsidR="00D21510">
        <w:rPr>
          <w:rFonts w:ascii="Arial" w:hAnsi="Arial" w:cs="Arial"/>
        </w:rPr>
        <w:t>,</w:t>
      </w:r>
      <w:r>
        <w:rPr>
          <w:rFonts w:ascii="Arial" w:hAnsi="Arial" w:cs="Arial"/>
        </w:rPr>
        <w:t xml:space="preserve"> as directed by the EFA in 2015-16</w:t>
      </w:r>
      <w:r w:rsidR="00D21510">
        <w:rPr>
          <w:rFonts w:ascii="Arial" w:hAnsi="Arial" w:cs="Arial"/>
        </w:rPr>
        <w:t>,</w:t>
      </w:r>
      <w:r>
        <w:rPr>
          <w:rFonts w:ascii="Arial" w:hAnsi="Arial" w:cs="Arial"/>
        </w:rPr>
        <w:t xml:space="preserve"> schools will only qualify for funding if </w:t>
      </w:r>
      <w:r w:rsidR="006C7F7C">
        <w:rPr>
          <w:rFonts w:ascii="Arial" w:hAnsi="Arial" w:cs="Arial"/>
        </w:rPr>
        <w:t>the growth</w:t>
      </w:r>
      <w:r>
        <w:rPr>
          <w:rFonts w:ascii="Arial" w:hAnsi="Arial" w:cs="Arial"/>
        </w:rPr>
        <w:t xml:space="preserve"> is </w:t>
      </w:r>
      <w:r w:rsidR="006C7F7C">
        <w:rPr>
          <w:rFonts w:ascii="Arial" w:hAnsi="Arial" w:cs="Arial"/>
        </w:rPr>
        <w:t>related to</w:t>
      </w:r>
      <w:r w:rsidR="00373950">
        <w:rPr>
          <w:rFonts w:ascii="Arial" w:hAnsi="Arial" w:cs="Arial"/>
        </w:rPr>
        <w:t xml:space="preserve"> Basic Need</w:t>
      </w:r>
      <w:r w:rsidR="00D21510">
        <w:rPr>
          <w:rFonts w:ascii="Arial" w:hAnsi="Arial" w:cs="Arial"/>
        </w:rPr>
        <w:t xml:space="preserve">.  </w:t>
      </w:r>
      <w:r w:rsidR="00373950">
        <w:rPr>
          <w:rFonts w:ascii="Arial" w:hAnsi="Arial" w:cs="Arial"/>
        </w:rPr>
        <w:t>To access the Growth Pol</w:t>
      </w:r>
      <w:r w:rsidR="00101042">
        <w:rPr>
          <w:rFonts w:ascii="Arial" w:hAnsi="Arial" w:cs="Arial"/>
        </w:rPr>
        <w:t>icy for 2017-18</w:t>
      </w:r>
      <w:r w:rsidR="00373950">
        <w:rPr>
          <w:rFonts w:ascii="Arial" w:hAnsi="Arial" w:cs="Arial"/>
        </w:rPr>
        <w:t xml:space="preserve"> click on this </w:t>
      </w:r>
      <w:r w:rsidR="00373950" w:rsidRPr="000636C8">
        <w:rPr>
          <w:rFonts w:ascii="Arial" w:hAnsi="Arial" w:cs="Arial"/>
        </w:rPr>
        <w:t xml:space="preserve">link </w:t>
      </w:r>
      <w:hyperlink r:id="rId30" w:history="1">
        <w:r w:rsidR="000636C8" w:rsidRPr="00CF4679">
          <w:rPr>
            <w:rStyle w:val="Hyperlink"/>
            <w:rFonts w:ascii="Arial" w:hAnsi="Arial" w:cs="Arial"/>
          </w:rPr>
          <w:t>G</w:t>
        </w:r>
        <w:r w:rsidR="00373950" w:rsidRPr="00CF4679">
          <w:rPr>
            <w:rStyle w:val="Hyperlink"/>
            <w:rFonts w:ascii="Arial" w:hAnsi="Arial" w:cs="Arial"/>
          </w:rPr>
          <w:t xml:space="preserve">rowth </w:t>
        </w:r>
        <w:r w:rsidR="000636C8" w:rsidRPr="00CF4679">
          <w:rPr>
            <w:rStyle w:val="Hyperlink"/>
            <w:rFonts w:ascii="Arial" w:hAnsi="Arial" w:cs="Arial"/>
          </w:rPr>
          <w:t>Policy</w:t>
        </w:r>
      </w:hyperlink>
      <w:r w:rsidR="00354773" w:rsidRPr="00CF4679">
        <w:rPr>
          <w:rFonts w:ascii="Arial" w:hAnsi="Arial" w:cs="Arial"/>
        </w:rPr>
        <w:t>.</w:t>
      </w:r>
      <w:r w:rsidR="006C7F7C">
        <w:rPr>
          <w:rFonts w:ascii="Arial" w:hAnsi="Arial" w:cs="Arial"/>
        </w:rPr>
        <w:t xml:space="preserve">  The total available funding retained by the LA for in year pupil growth in 2017-18 is £7.5m.</w:t>
      </w:r>
    </w:p>
    <w:p w:rsidR="00373950" w:rsidRDefault="00373950" w:rsidP="00092C1F">
      <w:pPr>
        <w:rPr>
          <w:rFonts w:ascii="Arial" w:hAnsi="Arial" w:cs="Arial"/>
        </w:rPr>
      </w:pPr>
    </w:p>
    <w:p w:rsidR="00D33E05" w:rsidRDefault="00373950" w:rsidP="00092C1F">
      <w:pPr>
        <w:rPr>
          <w:rFonts w:ascii="Arial" w:hAnsi="Arial" w:cs="Arial"/>
        </w:rPr>
      </w:pPr>
      <w:r>
        <w:rPr>
          <w:rFonts w:ascii="Arial" w:hAnsi="Arial" w:cs="Arial"/>
        </w:rPr>
        <w:t>Schools who will be eligible for the reorganisation funding element of Growth fundi</w:t>
      </w:r>
      <w:r w:rsidR="00CF14A0">
        <w:rPr>
          <w:rFonts w:ascii="Arial" w:hAnsi="Arial" w:cs="Arial"/>
        </w:rPr>
        <w:t xml:space="preserve">ng will receive an email </w:t>
      </w:r>
      <w:r w:rsidR="005366EE">
        <w:rPr>
          <w:rFonts w:ascii="Arial" w:hAnsi="Arial" w:cs="Arial"/>
        </w:rPr>
        <w:t>w</w:t>
      </w:r>
      <w:r w:rsidR="006C7F7C">
        <w:rPr>
          <w:rFonts w:ascii="Arial" w:hAnsi="Arial" w:cs="Arial"/>
        </w:rPr>
        <w:t xml:space="preserve">/c 27 February </w:t>
      </w:r>
      <w:r w:rsidR="00CF14A0">
        <w:rPr>
          <w:rFonts w:ascii="Arial" w:hAnsi="Arial" w:cs="Arial"/>
        </w:rPr>
        <w:t xml:space="preserve">from Ian Hamilton (Schools Budget and PVI </w:t>
      </w:r>
      <w:r w:rsidR="00D21510">
        <w:rPr>
          <w:rFonts w:ascii="Arial" w:hAnsi="Arial" w:cs="Arial"/>
        </w:rPr>
        <w:t>Manager</w:t>
      </w:r>
      <w:r w:rsidR="00CF14A0">
        <w:rPr>
          <w:rFonts w:ascii="Arial" w:hAnsi="Arial" w:cs="Arial"/>
        </w:rPr>
        <w:t>)</w:t>
      </w:r>
      <w:r>
        <w:rPr>
          <w:rFonts w:ascii="Arial" w:hAnsi="Arial" w:cs="Arial"/>
        </w:rPr>
        <w:t xml:space="preserve"> detailing their funding </w:t>
      </w:r>
      <w:r w:rsidR="00CF14A0">
        <w:rPr>
          <w:rFonts w:ascii="Arial" w:hAnsi="Arial" w:cs="Arial"/>
        </w:rPr>
        <w:t xml:space="preserve">for </w:t>
      </w:r>
      <w:r>
        <w:rPr>
          <w:rFonts w:ascii="Arial" w:hAnsi="Arial" w:cs="Arial"/>
        </w:rPr>
        <w:t>the fina</w:t>
      </w:r>
      <w:r w:rsidR="00101042">
        <w:rPr>
          <w:rFonts w:ascii="Arial" w:hAnsi="Arial" w:cs="Arial"/>
        </w:rPr>
        <w:t>ncial year April 2017</w:t>
      </w:r>
      <w:r w:rsidR="00CF14A0">
        <w:rPr>
          <w:rFonts w:ascii="Arial" w:hAnsi="Arial" w:cs="Arial"/>
        </w:rPr>
        <w:t xml:space="preserve"> to March </w:t>
      </w:r>
      <w:r w:rsidR="00D21510">
        <w:rPr>
          <w:rFonts w:ascii="Arial" w:hAnsi="Arial" w:cs="Arial"/>
        </w:rPr>
        <w:t>20</w:t>
      </w:r>
      <w:r w:rsidR="00101042">
        <w:rPr>
          <w:rFonts w:ascii="Arial" w:hAnsi="Arial" w:cs="Arial"/>
        </w:rPr>
        <w:t>18</w:t>
      </w:r>
      <w:r w:rsidR="00CF14A0">
        <w:rPr>
          <w:rFonts w:ascii="Arial" w:hAnsi="Arial" w:cs="Arial"/>
        </w:rPr>
        <w:t xml:space="preserve">. </w:t>
      </w:r>
      <w:r w:rsidR="00BE7138">
        <w:rPr>
          <w:rFonts w:ascii="Arial" w:hAnsi="Arial" w:cs="Arial"/>
        </w:rPr>
        <w:t xml:space="preserve">If a school is entitled to the rising roll element of growth funding it will be shown on the growth tab of the school budget template, to access this information click on this </w:t>
      </w:r>
      <w:r w:rsidR="00BE7138" w:rsidRPr="000C0B20">
        <w:rPr>
          <w:rFonts w:ascii="Arial" w:hAnsi="Arial" w:cs="Arial"/>
        </w:rPr>
        <w:t xml:space="preserve">link </w:t>
      </w:r>
      <w:hyperlink r:id="rId31" w:history="1">
        <w:r w:rsidR="00137769">
          <w:rPr>
            <w:rStyle w:val="Hyperlink"/>
            <w:rFonts w:ascii="Arial" w:hAnsi="Arial" w:cs="Arial"/>
          </w:rPr>
          <w:t>G</w:t>
        </w:r>
        <w:r w:rsidR="00BE7138" w:rsidRPr="000636C8">
          <w:rPr>
            <w:rStyle w:val="Hyperlink"/>
            <w:rFonts w:ascii="Arial" w:hAnsi="Arial" w:cs="Arial"/>
          </w:rPr>
          <w:t xml:space="preserve">rowth </w:t>
        </w:r>
        <w:r w:rsidR="00137769">
          <w:rPr>
            <w:rStyle w:val="Hyperlink"/>
            <w:rFonts w:ascii="Arial" w:hAnsi="Arial" w:cs="Arial"/>
          </w:rPr>
          <w:t>F</w:t>
        </w:r>
        <w:r w:rsidR="00BE7138" w:rsidRPr="000636C8">
          <w:rPr>
            <w:rStyle w:val="Hyperlink"/>
            <w:rFonts w:ascii="Arial" w:hAnsi="Arial" w:cs="Arial"/>
          </w:rPr>
          <w:t>unding</w:t>
        </w:r>
      </w:hyperlink>
      <w:r w:rsidR="00BE7138" w:rsidRPr="000636C8">
        <w:rPr>
          <w:rFonts w:ascii="Arial" w:hAnsi="Arial" w:cs="Arial"/>
        </w:rPr>
        <w:t>.</w:t>
      </w:r>
      <w:r w:rsidR="00BE7138">
        <w:rPr>
          <w:rFonts w:ascii="Arial" w:hAnsi="Arial" w:cs="Arial"/>
        </w:rPr>
        <w:t xml:space="preserve"> </w:t>
      </w:r>
      <w:bookmarkEnd w:id="17"/>
    </w:p>
    <w:p w:rsidR="00056DD4" w:rsidRDefault="00B57248" w:rsidP="00092C1F">
      <w:pPr>
        <w:rPr>
          <w:rFonts w:ascii="Arial" w:hAnsi="Arial" w:cs="Arial"/>
        </w:rPr>
      </w:pPr>
      <w:r>
        <w:rPr>
          <w:rFonts w:ascii="Arial" w:hAnsi="Arial" w:cs="Arial"/>
        </w:rPr>
        <w:t xml:space="preserve"> </w:t>
      </w:r>
    </w:p>
    <w:p w:rsidR="00693221" w:rsidRPr="005B17FD" w:rsidRDefault="00D20A81">
      <w:pPr>
        <w:rPr>
          <w:rFonts w:ascii="Arial" w:hAnsi="Arial" w:cs="Arial"/>
          <w:b/>
          <w:u w:val="single"/>
        </w:rPr>
      </w:pPr>
      <w:bookmarkStart w:id="18" w:name="SectionDEY"/>
      <w:r w:rsidRPr="005B17FD">
        <w:rPr>
          <w:rFonts w:ascii="Arial" w:hAnsi="Arial" w:cs="Arial"/>
          <w:b/>
          <w:u w:val="single"/>
        </w:rPr>
        <w:t>Early Years Funding</w:t>
      </w:r>
    </w:p>
    <w:p w:rsidR="00101042" w:rsidRDefault="00C827E9" w:rsidP="00C827E9">
      <w:pPr>
        <w:spacing w:before="120"/>
        <w:rPr>
          <w:rFonts w:ascii="Arial" w:hAnsi="Arial"/>
          <w:b/>
        </w:rPr>
      </w:pPr>
      <w:bookmarkStart w:id="19" w:name="SectionE"/>
      <w:bookmarkEnd w:id="18"/>
      <w:r w:rsidRPr="00C827E9">
        <w:rPr>
          <w:rFonts w:ascii="Arial" w:hAnsi="Arial" w:cs="Arial"/>
        </w:rPr>
        <w:t>The Government are introducing a National Funding Formula for Early Years from 1 April 2017.  The funding of each maintained nursery class and our maintained nursery school will continue to be calculated by the LA using a local formula.  Each school with a maintained early year’s class will receive a letter w/c 6 March confirming their hourly funding rate from 1 April 2017.</w:t>
      </w:r>
    </w:p>
    <w:p w:rsidR="00101042" w:rsidRDefault="00101042" w:rsidP="00D06273">
      <w:pPr>
        <w:spacing w:before="120"/>
        <w:jc w:val="center"/>
        <w:rPr>
          <w:rFonts w:ascii="Arial" w:hAnsi="Arial"/>
          <w:b/>
        </w:rPr>
      </w:pPr>
    </w:p>
    <w:p w:rsidR="006C7F7C" w:rsidRDefault="006C7F7C">
      <w:pPr>
        <w:rPr>
          <w:rFonts w:ascii="Arial" w:hAnsi="Arial"/>
          <w:b/>
        </w:rPr>
      </w:pPr>
      <w:r>
        <w:rPr>
          <w:rFonts w:ascii="Arial" w:hAnsi="Arial"/>
          <w:b/>
        </w:rPr>
        <w:br w:type="page"/>
      </w:r>
    </w:p>
    <w:p w:rsidR="00D06273" w:rsidRDefault="00D06273" w:rsidP="00D06273">
      <w:pPr>
        <w:spacing w:before="120"/>
        <w:jc w:val="center"/>
        <w:rPr>
          <w:rFonts w:ascii="Arial" w:hAnsi="Arial"/>
          <w:b/>
        </w:rPr>
      </w:pPr>
      <w:r w:rsidRPr="00FA510E">
        <w:rPr>
          <w:rFonts w:ascii="Arial" w:hAnsi="Arial"/>
          <w:b/>
        </w:rPr>
        <w:lastRenderedPageBreak/>
        <w:t xml:space="preserve">SECTION </w:t>
      </w:r>
      <w:r w:rsidR="00757CC5">
        <w:rPr>
          <w:rFonts w:ascii="Arial" w:hAnsi="Arial"/>
          <w:b/>
        </w:rPr>
        <w:t>E</w:t>
      </w:r>
      <w:r w:rsidRPr="00FA510E">
        <w:rPr>
          <w:rFonts w:ascii="Arial" w:hAnsi="Arial"/>
          <w:b/>
        </w:rPr>
        <w:t xml:space="preserve"> – </w:t>
      </w:r>
      <w:r>
        <w:rPr>
          <w:rFonts w:ascii="Arial" w:hAnsi="Arial"/>
          <w:b/>
        </w:rPr>
        <w:t>SPECIAL SCHOOLS</w:t>
      </w:r>
      <w:bookmarkEnd w:id="19"/>
    </w:p>
    <w:p w:rsidR="0069419C" w:rsidRDefault="0069419C" w:rsidP="00D06273">
      <w:pPr>
        <w:spacing w:before="120"/>
        <w:jc w:val="center"/>
        <w:rPr>
          <w:rFonts w:ascii="Arial" w:hAnsi="Arial"/>
          <w:b/>
        </w:rPr>
      </w:pPr>
    </w:p>
    <w:p w:rsidR="00750563" w:rsidRPr="00750563" w:rsidRDefault="00101042" w:rsidP="00750563">
      <w:pPr>
        <w:spacing w:before="120"/>
        <w:rPr>
          <w:rFonts w:ascii="Arial" w:hAnsi="Arial"/>
        </w:rPr>
      </w:pPr>
      <w:r>
        <w:rPr>
          <w:rFonts w:ascii="Arial" w:hAnsi="Arial"/>
        </w:rPr>
        <w:t>The 2017-18</w:t>
      </w:r>
      <w:r w:rsidR="00750563" w:rsidRPr="00750563">
        <w:rPr>
          <w:rFonts w:ascii="Arial" w:hAnsi="Arial"/>
        </w:rPr>
        <w:t xml:space="preserve"> </w:t>
      </w:r>
      <w:r w:rsidR="00622424">
        <w:rPr>
          <w:rFonts w:ascii="Arial" w:hAnsi="Arial"/>
        </w:rPr>
        <w:t xml:space="preserve">Special </w:t>
      </w:r>
      <w:r w:rsidR="00750563" w:rsidRPr="00750563">
        <w:rPr>
          <w:rFonts w:ascii="Arial" w:hAnsi="Arial"/>
        </w:rPr>
        <w:t xml:space="preserve">School </w:t>
      </w:r>
      <w:r w:rsidR="005653CB">
        <w:rPr>
          <w:rFonts w:ascii="Arial" w:hAnsi="Arial"/>
        </w:rPr>
        <w:t xml:space="preserve">funding guidance is now available to view on Kelsi, to access click on this link </w:t>
      </w:r>
      <w:hyperlink r:id="rId32" w:history="1">
        <w:r w:rsidR="005653CB" w:rsidRPr="0032780A">
          <w:rPr>
            <w:rStyle w:val="Hyperlink"/>
            <w:rFonts w:ascii="Arial" w:hAnsi="Arial"/>
          </w:rPr>
          <w:t>Special School Funding Guidance 201</w:t>
        </w:r>
        <w:r w:rsidR="006C7F7C" w:rsidRPr="0032780A">
          <w:rPr>
            <w:rStyle w:val="Hyperlink"/>
            <w:rFonts w:ascii="Arial" w:hAnsi="Arial"/>
          </w:rPr>
          <w:t>7</w:t>
        </w:r>
        <w:r w:rsidR="005653CB" w:rsidRPr="0032780A">
          <w:rPr>
            <w:rStyle w:val="Hyperlink"/>
            <w:rFonts w:ascii="Arial" w:hAnsi="Arial"/>
          </w:rPr>
          <w:t>-1</w:t>
        </w:r>
        <w:r w:rsidR="006C7F7C" w:rsidRPr="0032780A">
          <w:rPr>
            <w:rStyle w:val="Hyperlink"/>
            <w:rFonts w:ascii="Arial" w:hAnsi="Arial"/>
          </w:rPr>
          <w:t>8</w:t>
        </w:r>
        <w:r w:rsidR="00750563" w:rsidRPr="0032780A">
          <w:rPr>
            <w:rStyle w:val="Hyperlink"/>
            <w:rFonts w:ascii="Arial" w:hAnsi="Arial"/>
          </w:rPr>
          <w:t>.</w:t>
        </w:r>
      </w:hyperlink>
      <w:r w:rsidR="00750563" w:rsidRPr="00750563">
        <w:rPr>
          <w:rFonts w:ascii="Arial" w:hAnsi="Arial"/>
        </w:rPr>
        <w:t xml:space="preserve"> </w:t>
      </w:r>
    </w:p>
    <w:p w:rsidR="00750563" w:rsidRDefault="00750563" w:rsidP="00F5423E">
      <w:pPr>
        <w:spacing w:before="120"/>
        <w:rPr>
          <w:rFonts w:ascii="Arial" w:hAnsi="Arial"/>
          <w:b/>
        </w:rPr>
      </w:pPr>
    </w:p>
    <w:p w:rsidR="009902F3" w:rsidRPr="00792EAF" w:rsidRDefault="00101042" w:rsidP="00792EAF">
      <w:pPr>
        <w:spacing w:before="120"/>
        <w:rPr>
          <w:rFonts w:ascii="Arial" w:hAnsi="Arial"/>
        </w:rPr>
      </w:pPr>
      <w:r>
        <w:rPr>
          <w:rFonts w:ascii="Arial" w:hAnsi="Arial"/>
        </w:rPr>
        <w:t>The 2017-18</w:t>
      </w:r>
      <w:r w:rsidR="00CF0CA7" w:rsidRPr="00CF0CA7">
        <w:rPr>
          <w:rFonts w:ascii="Arial" w:hAnsi="Arial"/>
        </w:rPr>
        <w:t xml:space="preserve"> Special School </w:t>
      </w:r>
      <w:r w:rsidR="005653CB">
        <w:rPr>
          <w:rFonts w:ascii="Arial" w:hAnsi="Arial"/>
        </w:rPr>
        <w:t>f</w:t>
      </w:r>
      <w:r>
        <w:rPr>
          <w:rFonts w:ascii="Arial" w:hAnsi="Arial"/>
        </w:rPr>
        <w:t xml:space="preserve">unding calculation template </w:t>
      </w:r>
      <w:r w:rsidR="00CF0CA7" w:rsidRPr="00CF0CA7">
        <w:rPr>
          <w:rFonts w:ascii="Arial" w:hAnsi="Arial"/>
        </w:rPr>
        <w:t xml:space="preserve">can be </w:t>
      </w:r>
      <w:r w:rsidR="00792EAF">
        <w:rPr>
          <w:rFonts w:ascii="Arial" w:hAnsi="Arial"/>
        </w:rPr>
        <w:t>accessed via the following l</w:t>
      </w:r>
      <w:r w:rsidR="00792EAF" w:rsidRPr="00C61538">
        <w:rPr>
          <w:rFonts w:ascii="Arial" w:hAnsi="Arial"/>
        </w:rPr>
        <w:t xml:space="preserve">ink </w:t>
      </w:r>
      <w:hyperlink r:id="rId33" w:history="1">
        <w:r w:rsidR="009902F3" w:rsidRPr="00C47D5E">
          <w:rPr>
            <w:rStyle w:val="Hyperlink"/>
            <w:rFonts w:ascii="Arial" w:hAnsi="Arial"/>
          </w:rPr>
          <w:t>Special School funding te</w:t>
        </w:r>
        <w:r w:rsidR="009902F3" w:rsidRPr="00C47D5E">
          <w:rPr>
            <w:rStyle w:val="Hyperlink"/>
            <w:rFonts w:ascii="Arial" w:hAnsi="Arial"/>
          </w:rPr>
          <w:t>m</w:t>
        </w:r>
        <w:r w:rsidR="009902F3" w:rsidRPr="00C47D5E">
          <w:rPr>
            <w:rStyle w:val="Hyperlink"/>
            <w:rFonts w:ascii="Arial" w:hAnsi="Arial"/>
          </w:rPr>
          <w:t>plate</w:t>
        </w:r>
      </w:hyperlink>
      <w:r w:rsidR="009902F3" w:rsidRPr="00C61538">
        <w:rPr>
          <w:rFonts w:ascii="Arial" w:hAnsi="Arial"/>
        </w:rPr>
        <w:t xml:space="preserve"> and to access user guidance click on this link </w:t>
      </w:r>
      <w:hyperlink r:id="rId34" w:history="1">
        <w:r w:rsidR="009902F3" w:rsidRPr="0032780A">
          <w:rPr>
            <w:rStyle w:val="Hyperlink"/>
            <w:rFonts w:ascii="Arial" w:hAnsi="Arial"/>
          </w:rPr>
          <w:t xml:space="preserve"> Specia</w:t>
        </w:r>
        <w:r w:rsidR="009902F3" w:rsidRPr="0032780A">
          <w:rPr>
            <w:rStyle w:val="Hyperlink"/>
            <w:rFonts w:ascii="Arial" w:hAnsi="Arial"/>
          </w:rPr>
          <w:t>l</w:t>
        </w:r>
        <w:r w:rsidR="009902F3" w:rsidRPr="0032780A">
          <w:rPr>
            <w:rStyle w:val="Hyperlink"/>
            <w:rFonts w:ascii="Arial" w:hAnsi="Arial"/>
          </w:rPr>
          <w:t xml:space="preserve"> Schools Funding template</w:t>
        </w:r>
        <w:r w:rsidR="00C61538" w:rsidRPr="0032780A">
          <w:rPr>
            <w:rStyle w:val="Hyperlink"/>
            <w:rFonts w:ascii="Arial" w:hAnsi="Arial"/>
          </w:rPr>
          <w:t xml:space="preserve"> input guidance</w:t>
        </w:r>
        <w:r w:rsidR="009902F3" w:rsidRPr="0032780A">
          <w:rPr>
            <w:rStyle w:val="Hyperlink"/>
            <w:rFonts w:ascii="Arial" w:hAnsi="Arial"/>
          </w:rPr>
          <w:t>.</w:t>
        </w:r>
      </w:hyperlink>
    </w:p>
    <w:p w:rsidR="006B06EC" w:rsidRDefault="006B06EC" w:rsidP="008343F8">
      <w:pPr>
        <w:spacing w:before="120"/>
        <w:rPr>
          <w:rFonts w:ascii="Arial" w:hAnsi="Arial"/>
          <w:b/>
          <w:u w:val="single"/>
        </w:rPr>
      </w:pPr>
      <w:bookmarkStart w:id="20" w:name="SectionEProtection"/>
      <w:bookmarkStart w:id="21" w:name="SectionEPPlus"/>
      <w:r>
        <w:rPr>
          <w:rFonts w:ascii="Arial" w:hAnsi="Arial"/>
          <w:b/>
          <w:u w:val="single"/>
        </w:rPr>
        <w:t>Protection</w:t>
      </w:r>
    </w:p>
    <w:bookmarkEnd w:id="20"/>
    <w:p w:rsidR="002F2752" w:rsidRPr="00622403" w:rsidRDefault="002F2752" w:rsidP="002F2752">
      <w:pPr>
        <w:spacing w:before="120"/>
        <w:rPr>
          <w:rFonts w:ascii="Arial" w:hAnsi="Arial"/>
        </w:rPr>
      </w:pPr>
      <w:r w:rsidRPr="00622403">
        <w:rPr>
          <w:rFonts w:ascii="Arial" w:hAnsi="Arial"/>
        </w:rPr>
        <w:t xml:space="preserve">The Government’s Minimum Funding Guarantee (MFG) for 2017-18 has been set at -1.5%.  This has been applied to ensure no school has a reduction in </w:t>
      </w:r>
      <w:r>
        <w:rPr>
          <w:rFonts w:ascii="Arial" w:hAnsi="Arial"/>
        </w:rPr>
        <w:t>the funding rate per pupil, for each need type,</w:t>
      </w:r>
      <w:r w:rsidRPr="00622403">
        <w:rPr>
          <w:rFonts w:ascii="Arial" w:hAnsi="Arial"/>
        </w:rPr>
        <w:t xml:space="preserve"> of more than 1.5%.  </w:t>
      </w:r>
    </w:p>
    <w:p w:rsidR="002F2752" w:rsidRDefault="002F2752" w:rsidP="00EF7958">
      <w:pPr>
        <w:pStyle w:val="Default"/>
        <w:rPr>
          <w:szCs w:val="23"/>
        </w:rPr>
      </w:pPr>
    </w:p>
    <w:p w:rsidR="006B06EC" w:rsidRDefault="002F2752" w:rsidP="008343F8">
      <w:pPr>
        <w:spacing w:before="120"/>
        <w:rPr>
          <w:rFonts w:ascii="Arial" w:hAnsi="Arial"/>
          <w:b/>
          <w:u w:val="single"/>
        </w:rPr>
      </w:pPr>
      <w:bookmarkStart w:id="22" w:name="SectionEFRates"/>
      <w:r>
        <w:rPr>
          <w:rFonts w:ascii="Arial" w:hAnsi="Arial"/>
          <w:b/>
          <w:u w:val="single"/>
        </w:rPr>
        <w:t xml:space="preserve">2017-18 </w:t>
      </w:r>
      <w:r w:rsidR="006B06EC">
        <w:rPr>
          <w:rFonts w:ascii="Arial" w:hAnsi="Arial"/>
          <w:b/>
          <w:u w:val="single"/>
        </w:rPr>
        <w:t>Funding Rates</w:t>
      </w:r>
    </w:p>
    <w:bookmarkEnd w:id="22"/>
    <w:p w:rsidR="002E4D3B" w:rsidRPr="009C4B48" w:rsidRDefault="00082F18" w:rsidP="008343F8">
      <w:pPr>
        <w:spacing w:before="120"/>
        <w:rPr>
          <w:rFonts w:ascii="Arial" w:hAnsi="Arial" w:cs="Arial"/>
          <w:color w:val="000000"/>
          <w:szCs w:val="23"/>
        </w:rPr>
      </w:pPr>
      <w:r w:rsidRPr="000576A2">
        <w:rPr>
          <w:rFonts w:ascii="Arial" w:hAnsi="Arial" w:cs="Arial"/>
          <w:color w:val="000000"/>
          <w:szCs w:val="23"/>
        </w:rPr>
        <w:t xml:space="preserve">Special </w:t>
      </w:r>
      <w:r w:rsidR="009C4B48" w:rsidRPr="000576A2">
        <w:rPr>
          <w:rFonts w:ascii="Arial" w:hAnsi="Arial" w:cs="Arial"/>
          <w:color w:val="000000"/>
          <w:szCs w:val="23"/>
        </w:rPr>
        <w:t>S</w:t>
      </w:r>
      <w:r w:rsidRPr="000576A2">
        <w:rPr>
          <w:rFonts w:ascii="Arial" w:hAnsi="Arial" w:cs="Arial"/>
          <w:color w:val="000000"/>
          <w:szCs w:val="23"/>
        </w:rPr>
        <w:t xml:space="preserve">chools were sent guidance and a computation </w:t>
      </w:r>
      <w:r w:rsidR="00291A93" w:rsidRPr="000576A2">
        <w:rPr>
          <w:rFonts w:ascii="Arial" w:hAnsi="Arial" w:cs="Arial"/>
          <w:color w:val="000000"/>
          <w:szCs w:val="23"/>
        </w:rPr>
        <w:t xml:space="preserve">on the </w:t>
      </w:r>
      <w:r w:rsidR="00016DF6" w:rsidRPr="00016DF6">
        <w:rPr>
          <w:rFonts w:ascii="Arial" w:hAnsi="Arial" w:cs="Arial"/>
          <w:color w:val="000000"/>
          <w:szCs w:val="23"/>
        </w:rPr>
        <w:t>18th</w:t>
      </w:r>
      <w:r w:rsidR="00354773" w:rsidRPr="00016DF6">
        <w:rPr>
          <w:rFonts w:ascii="Arial" w:hAnsi="Arial" w:cs="Arial"/>
          <w:color w:val="000000"/>
          <w:szCs w:val="23"/>
        </w:rPr>
        <w:t xml:space="preserve"> January</w:t>
      </w:r>
      <w:r w:rsidR="00D21510">
        <w:rPr>
          <w:rFonts w:ascii="Arial" w:hAnsi="Arial" w:cs="Arial"/>
          <w:color w:val="000000"/>
          <w:szCs w:val="23"/>
        </w:rPr>
        <w:t xml:space="preserve"> </w:t>
      </w:r>
      <w:r w:rsidRPr="000576A2">
        <w:rPr>
          <w:rFonts w:ascii="Arial" w:hAnsi="Arial" w:cs="Arial"/>
          <w:color w:val="000000"/>
          <w:szCs w:val="23"/>
        </w:rPr>
        <w:t>detailing the cal</w:t>
      </w:r>
      <w:r w:rsidR="00291A93" w:rsidRPr="000576A2">
        <w:rPr>
          <w:rFonts w:ascii="Arial" w:hAnsi="Arial" w:cs="Arial"/>
          <w:color w:val="000000"/>
          <w:szCs w:val="23"/>
        </w:rPr>
        <w:t xml:space="preserve">culation of their funding rate. </w:t>
      </w:r>
      <w:r w:rsidR="000576A2" w:rsidRPr="000576A2">
        <w:rPr>
          <w:rFonts w:ascii="Arial" w:hAnsi="Arial" w:cs="Arial"/>
          <w:color w:val="000000"/>
          <w:szCs w:val="23"/>
        </w:rPr>
        <w:t xml:space="preserve"> </w:t>
      </w:r>
      <w:r w:rsidR="00291A93" w:rsidRPr="000576A2">
        <w:rPr>
          <w:rFonts w:ascii="Arial" w:hAnsi="Arial" w:cs="Arial"/>
          <w:color w:val="000000"/>
          <w:szCs w:val="23"/>
        </w:rPr>
        <w:t xml:space="preserve">Special </w:t>
      </w:r>
      <w:r w:rsidR="009C4B48" w:rsidRPr="000576A2">
        <w:rPr>
          <w:rFonts w:ascii="Arial" w:hAnsi="Arial" w:cs="Arial"/>
          <w:color w:val="000000"/>
          <w:szCs w:val="23"/>
        </w:rPr>
        <w:t>S</w:t>
      </w:r>
      <w:r w:rsidR="00291A93" w:rsidRPr="000576A2">
        <w:rPr>
          <w:rFonts w:ascii="Arial" w:hAnsi="Arial" w:cs="Arial"/>
          <w:color w:val="000000"/>
          <w:szCs w:val="23"/>
        </w:rPr>
        <w:t xml:space="preserve">chools were requested to submit a return by the </w:t>
      </w:r>
      <w:r w:rsidR="00016DF6" w:rsidRPr="00016DF6">
        <w:rPr>
          <w:rFonts w:ascii="Arial" w:hAnsi="Arial" w:cs="Arial"/>
          <w:color w:val="000000"/>
          <w:szCs w:val="23"/>
        </w:rPr>
        <w:t>3rd</w:t>
      </w:r>
      <w:r w:rsidR="00354773" w:rsidRPr="00016DF6">
        <w:rPr>
          <w:rFonts w:ascii="Arial" w:hAnsi="Arial" w:cs="Arial"/>
          <w:color w:val="000000"/>
          <w:szCs w:val="23"/>
        </w:rPr>
        <w:t xml:space="preserve"> February</w:t>
      </w:r>
      <w:r w:rsidR="00354773">
        <w:rPr>
          <w:rFonts w:ascii="Arial" w:hAnsi="Arial" w:cs="Arial"/>
          <w:color w:val="000000"/>
          <w:szCs w:val="23"/>
        </w:rPr>
        <w:t xml:space="preserve"> </w:t>
      </w:r>
      <w:r w:rsidR="00291A93" w:rsidRPr="000576A2">
        <w:rPr>
          <w:rFonts w:ascii="Arial" w:hAnsi="Arial" w:cs="Arial"/>
          <w:color w:val="000000"/>
          <w:szCs w:val="23"/>
        </w:rPr>
        <w:t xml:space="preserve">confirming that they were in agreement with </w:t>
      </w:r>
      <w:r w:rsidR="00576D03">
        <w:rPr>
          <w:rFonts w:ascii="Arial" w:hAnsi="Arial" w:cs="Arial"/>
          <w:color w:val="000000"/>
          <w:szCs w:val="23"/>
        </w:rPr>
        <w:t xml:space="preserve">the </w:t>
      </w:r>
      <w:r w:rsidR="00291A93" w:rsidRPr="000576A2">
        <w:rPr>
          <w:rFonts w:ascii="Arial" w:hAnsi="Arial" w:cs="Arial"/>
          <w:color w:val="000000"/>
          <w:szCs w:val="23"/>
        </w:rPr>
        <w:t>number of places and funding rate</w:t>
      </w:r>
      <w:r w:rsidR="009C4B48" w:rsidRPr="000576A2">
        <w:rPr>
          <w:rFonts w:ascii="Arial" w:hAnsi="Arial" w:cs="Arial"/>
          <w:color w:val="000000"/>
          <w:szCs w:val="23"/>
        </w:rPr>
        <w:t>s</w:t>
      </w:r>
      <w:r w:rsidR="00291A93" w:rsidRPr="000576A2">
        <w:rPr>
          <w:rFonts w:ascii="Arial" w:hAnsi="Arial" w:cs="Arial"/>
          <w:color w:val="000000"/>
          <w:szCs w:val="23"/>
        </w:rPr>
        <w:t>. To date the majority of Special Schools have returned and agreed this information.</w:t>
      </w:r>
      <w:r w:rsidR="009902F3">
        <w:rPr>
          <w:rFonts w:ascii="Arial" w:hAnsi="Arial" w:cs="Arial"/>
          <w:color w:val="000000"/>
          <w:szCs w:val="23"/>
        </w:rPr>
        <w:t xml:space="preserve"> To access your schools funding rate calculation click on this link, </w:t>
      </w:r>
      <w:hyperlink r:id="rId35" w:history="1">
        <w:r w:rsidR="00230B67" w:rsidRPr="00327DC6">
          <w:rPr>
            <w:rStyle w:val="Hyperlink"/>
            <w:rFonts w:ascii="Arial" w:hAnsi="Arial" w:cs="Arial"/>
            <w:szCs w:val="23"/>
          </w:rPr>
          <w:t>Funding Rat</w:t>
        </w:r>
        <w:r w:rsidR="00230B67" w:rsidRPr="00327DC6">
          <w:rPr>
            <w:rStyle w:val="Hyperlink"/>
            <w:rFonts w:ascii="Arial" w:hAnsi="Arial" w:cs="Arial"/>
            <w:szCs w:val="23"/>
          </w:rPr>
          <w:t>e</w:t>
        </w:r>
        <w:r w:rsidR="00230B67" w:rsidRPr="00327DC6">
          <w:rPr>
            <w:rStyle w:val="Hyperlink"/>
            <w:rFonts w:ascii="Arial" w:hAnsi="Arial" w:cs="Arial"/>
            <w:szCs w:val="23"/>
          </w:rPr>
          <w:t xml:space="preserve"> Calculation 201</w:t>
        </w:r>
        <w:r w:rsidR="006C7F7C" w:rsidRPr="00327DC6">
          <w:rPr>
            <w:rStyle w:val="Hyperlink"/>
            <w:rFonts w:ascii="Arial" w:hAnsi="Arial" w:cs="Arial"/>
            <w:szCs w:val="23"/>
          </w:rPr>
          <w:t>7</w:t>
        </w:r>
        <w:r w:rsidR="00230B67" w:rsidRPr="00327DC6">
          <w:rPr>
            <w:rStyle w:val="Hyperlink"/>
            <w:rFonts w:ascii="Arial" w:hAnsi="Arial" w:cs="Arial"/>
            <w:szCs w:val="23"/>
          </w:rPr>
          <w:t>-1</w:t>
        </w:r>
        <w:r w:rsidR="006C7F7C" w:rsidRPr="00327DC6">
          <w:rPr>
            <w:rStyle w:val="Hyperlink"/>
            <w:rFonts w:ascii="Arial" w:hAnsi="Arial" w:cs="Arial"/>
            <w:szCs w:val="23"/>
          </w:rPr>
          <w:t>8</w:t>
        </w:r>
      </w:hyperlink>
    </w:p>
    <w:p w:rsidR="009C4B48" w:rsidRDefault="009C4B48" w:rsidP="008343F8">
      <w:pPr>
        <w:spacing w:before="120"/>
        <w:rPr>
          <w:rFonts w:ascii="Arial" w:hAnsi="Arial"/>
          <w:b/>
          <w:u w:val="single"/>
        </w:rPr>
      </w:pPr>
    </w:p>
    <w:bookmarkEnd w:id="21"/>
    <w:p w:rsidR="006C7F7C" w:rsidRPr="006C7F7C" w:rsidRDefault="006C7F7C" w:rsidP="006C7F7C">
      <w:pPr>
        <w:spacing w:before="120"/>
        <w:rPr>
          <w:rFonts w:ascii="Arial" w:hAnsi="Arial" w:cs="Arial"/>
          <w:b/>
          <w:bCs/>
          <w:color w:val="000000" w:themeColor="text1"/>
          <w:u w:val="single"/>
        </w:rPr>
      </w:pPr>
      <w:r w:rsidRPr="006C7F7C">
        <w:rPr>
          <w:rFonts w:ascii="Arial" w:hAnsi="Arial" w:cs="Arial"/>
          <w:b/>
          <w:bCs/>
          <w:color w:val="000000" w:themeColor="text1"/>
          <w:u w:val="single"/>
        </w:rPr>
        <w:t>Outreach</w:t>
      </w:r>
    </w:p>
    <w:p w:rsidR="006C7F7C" w:rsidRPr="006C7F7C" w:rsidRDefault="006C7F7C" w:rsidP="00974237">
      <w:pPr>
        <w:spacing w:after="120"/>
        <w:rPr>
          <w:rFonts w:ascii="Arial" w:hAnsi="Arial" w:cs="Arial"/>
          <w:color w:val="000000" w:themeColor="text1"/>
        </w:rPr>
      </w:pPr>
      <w:r w:rsidRPr="006C7F7C">
        <w:rPr>
          <w:rFonts w:ascii="Arial" w:hAnsi="Arial" w:cs="Arial"/>
          <w:color w:val="000000" w:themeColor="text1"/>
        </w:rPr>
        <w:t xml:space="preserve">Outreach resources to support mainstream schools are distributed via a lead special school in each district (total allocation: £2.4m). </w:t>
      </w:r>
      <w:r>
        <w:rPr>
          <w:rFonts w:ascii="Arial" w:hAnsi="Arial" w:cs="Arial"/>
          <w:color w:val="000000" w:themeColor="text1"/>
        </w:rPr>
        <w:t xml:space="preserve"> </w:t>
      </w:r>
      <w:r w:rsidRPr="006C7F7C">
        <w:rPr>
          <w:rFonts w:ascii="Arial" w:hAnsi="Arial" w:cs="Arial"/>
          <w:color w:val="000000" w:themeColor="text1"/>
        </w:rPr>
        <w:t>Distribution targets resources on the basis of identified levels of special educational needs and reflects a review which took place in 2015/16.</w:t>
      </w:r>
    </w:p>
    <w:p w:rsidR="009A0C44" w:rsidRDefault="009A0C44" w:rsidP="00F3243C">
      <w:pPr>
        <w:rPr>
          <w:rFonts w:ascii="Arial" w:hAnsi="Arial"/>
          <w:b/>
          <w:u w:val="single"/>
        </w:rPr>
      </w:pPr>
    </w:p>
    <w:tbl>
      <w:tblPr>
        <w:tblStyle w:val="TableGrid"/>
        <w:tblW w:w="9885" w:type="dxa"/>
        <w:tblInd w:w="288" w:type="dxa"/>
        <w:tblLayout w:type="fixed"/>
        <w:tblLook w:val="04A0" w:firstRow="1" w:lastRow="0" w:firstColumn="1" w:lastColumn="0" w:noHBand="0" w:noVBand="1"/>
      </w:tblPr>
      <w:tblGrid>
        <w:gridCol w:w="900"/>
        <w:gridCol w:w="2748"/>
        <w:gridCol w:w="2126"/>
        <w:gridCol w:w="2268"/>
        <w:gridCol w:w="1843"/>
      </w:tblGrid>
      <w:tr w:rsidR="009912C8" w:rsidRPr="00E614DF" w:rsidTr="009912C8">
        <w:trPr>
          <w:trHeight w:val="800"/>
        </w:trPr>
        <w:tc>
          <w:tcPr>
            <w:tcW w:w="900" w:type="dxa"/>
            <w:tcBorders>
              <w:top w:val="single" w:sz="2" w:space="0" w:color="000000"/>
              <w:bottom w:val="single" w:sz="4" w:space="0" w:color="000000"/>
            </w:tcBorders>
          </w:tcPr>
          <w:p w:rsidR="009912C8" w:rsidRPr="009912C8" w:rsidRDefault="009912C8" w:rsidP="009912C8">
            <w:pPr>
              <w:rPr>
                <w:rFonts w:ascii="Arial" w:hAnsi="Arial" w:cs="Arial"/>
                <w:b/>
                <w:sz w:val="18"/>
              </w:rPr>
            </w:pPr>
            <w:r w:rsidRPr="009912C8">
              <w:rPr>
                <w:rFonts w:ascii="Arial" w:hAnsi="Arial" w:cs="Arial"/>
                <w:b/>
                <w:sz w:val="20"/>
              </w:rPr>
              <w:t>Area</w:t>
            </w:r>
          </w:p>
        </w:tc>
        <w:tc>
          <w:tcPr>
            <w:tcW w:w="2748" w:type="dxa"/>
            <w:tcBorders>
              <w:top w:val="single" w:sz="2" w:space="0" w:color="000000"/>
              <w:bottom w:val="single" w:sz="4" w:space="0" w:color="000000"/>
            </w:tcBorders>
          </w:tcPr>
          <w:p w:rsidR="009912C8" w:rsidRPr="009912C8" w:rsidRDefault="009912C8" w:rsidP="006C7F7C">
            <w:pPr>
              <w:rPr>
                <w:rFonts w:ascii="Arial" w:hAnsi="Arial" w:cs="Arial"/>
                <w:b/>
                <w:sz w:val="20"/>
              </w:rPr>
            </w:pPr>
            <w:r w:rsidRPr="009912C8">
              <w:rPr>
                <w:rFonts w:ascii="Arial" w:hAnsi="Arial" w:cs="Arial"/>
                <w:b/>
                <w:sz w:val="20"/>
              </w:rPr>
              <w:t>District</w:t>
            </w:r>
          </w:p>
        </w:tc>
        <w:tc>
          <w:tcPr>
            <w:tcW w:w="2126" w:type="dxa"/>
            <w:tcBorders>
              <w:top w:val="single" w:sz="2" w:space="0" w:color="000000"/>
              <w:bottom w:val="single" w:sz="4" w:space="0" w:color="000000"/>
            </w:tcBorders>
          </w:tcPr>
          <w:p w:rsidR="009912C8" w:rsidRPr="009912C8" w:rsidRDefault="009912C8" w:rsidP="006C7F7C">
            <w:pPr>
              <w:jc w:val="center"/>
              <w:rPr>
                <w:rFonts w:ascii="Arial" w:hAnsi="Arial" w:cs="Arial"/>
                <w:b/>
                <w:sz w:val="20"/>
              </w:rPr>
            </w:pPr>
            <w:r w:rsidRPr="009912C8">
              <w:rPr>
                <w:rFonts w:ascii="Arial" w:hAnsi="Arial" w:cs="Arial"/>
                <w:b/>
                <w:sz w:val="20"/>
              </w:rPr>
              <w:t>Early Years County Lead</w:t>
            </w:r>
          </w:p>
          <w:p w:rsidR="009912C8" w:rsidRPr="009912C8" w:rsidRDefault="009912C8" w:rsidP="006C7F7C">
            <w:pPr>
              <w:jc w:val="center"/>
              <w:rPr>
                <w:rFonts w:ascii="Arial" w:hAnsi="Arial" w:cs="Arial"/>
                <w:b/>
                <w:sz w:val="20"/>
              </w:rPr>
            </w:pPr>
            <w:r>
              <w:rPr>
                <w:rFonts w:ascii="Arial" w:hAnsi="Arial" w:cs="Arial"/>
                <w:b/>
                <w:sz w:val="20"/>
              </w:rPr>
              <w:t>allocation</w:t>
            </w:r>
          </w:p>
        </w:tc>
        <w:tc>
          <w:tcPr>
            <w:tcW w:w="2268" w:type="dxa"/>
            <w:tcBorders>
              <w:top w:val="single" w:sz="2" w:space="0" w:color="000000"/>
              <w:bottom w:val="single" w:sz="4" w:space="0" w:color="000000"/>
            </w:tcBorders>
          </w:tcPr>
          <w:p w:rsidR="009912C8" w:rsidRPr="009912C8" w:rsidRDefault="009912C8" w:rsidP="009912C8">
            <w:pPr>
              <w:jc w:val="center"/>
              <w:rPr>
                <w:rFonts w:ascii="Arial" w:hAnsi="Arial" w:cs="Arial"/>
                <w:b/>
                <w:sz w:val="20"/>
              </w:rPr>
            </w:pPr>
            <w:r w:rsidRPr="009912C8">
              <w:rPr>
                <w:rFonts w:ascii="Arial" w:hAnsi="Arial" w:cs="Arial"/>
                <w:b/>
                <w:sz w:val="20"/>
              </w:rPr>
              <w:t>Allocation to Special Schools</w:t>
            </w:r>
          </w:p>
        </w:tc>
        <w:tc>
          <w:tcPr>
            <w:tcW w:w="1843" w:type="dxa"/>
            <w:tcBorders>
              <w:top w:val="single" w:sz="2" w:space="0" w:color="000000"/>
              <w:bottom w:val="single" w:sz="4" w:space="0" w:color="000000"/>
            </w:tcBorders>
          </w:tcPr>
          <w:p w:rsidR="009912C8" w:rsidRPr="009912C8" w:rsidRDefault="009912C8" w:rsidP="009912C8">
            <w:pPr>
              <w:ind w:left="-51" w:firstLine="51"/>
              <w:jc w:val="center"/>
              <w:rPr>
                <w:rFonts w:ascii="Arial" w:hAnsi="Arial" w:cs="Arial"/>
                <w:b/>
                <w:sz w:val="20"/>
              </w:rPr>
            </w:pPr>
            <w:r w:rsidRPr="009912C8">
              <w:rPr>
                <w:rFonts w:ascii="Arial" w:hAnsi="Arial" w:cs="Arial"/>
                <w:b/>
                <w:sz w:val="20"/>
              </w:rPr>
              <w:t>TOTAL</w:t>
            </w:r>
            <w:r>
              <w:rPr>
                <w:rFonts w:ascii="Arial" w:hAnsi="Arial" w:cs="Arial"/>
                <w:b/>
                <w:sz w:val="20"/>
              </w:rPr>
              <w:t>S</w:t>
            </w:r>
          </w:p>
          <w:p w:rsidR="009912C8" w:rsidRPr="009912C8" w:rsidRDefault="009912C8" w:rsidP="00BE1A26">
            <w:pPr>
              <w:jc w:val="center"/>
              <w:rPr>
                <w:rFonts w:ascii="Arial" w:hAnsi="Arial" w:cs="Arial"/>
                <w:b/>
                <w:sz w:val="20"/>
              </w:rPr>
            </w:pPr>
          </w:p>
        </w:tc>
      </w:tr>
      <w:tr w:rsidR="009912C8" w:rsidRPr="00E614DF" w:rsidTr="009912C8">
        <w:tc>
          <w:tcPr>
            <w:tcW w:w="900" w:type="dxa"/>
            <w:vMerge w:val="restart"/>
            <w:tcBorders>
              <w:top w:val="single" w:sz="4" w:space="0" w:color="000000"/>
            </w:tcBorders>
            <w:textDirection w:val="btLr"/>
          </w:tcPr>
          <w:p w:rsidR="009912C8" w:rsidRPr="009912C8" w:rsidRDefault="009912C8" w:rsidP="006C7F7C">
            <w:pPr>
              <w:ind w:left="113" w:right="113"/>
              <w:rPr>
                <w:rFonts w:ascii="Arial" w:hAnsi="Arial" w:cs="Arial"/>
                <w:b/>
                <w:sz w:val="18"/>
              </w:rPr>
            </w:pPr>
            <w:r w:rsidRPr="009912C8">
              <w:rPr>
                <w:rFonts w:ascii="Arial" w:hAnsi="Arial" w:cs="Arial"/>
                <w:b/>
                <w:sz w:val="18"/>
              </w:rPr>
              <w:t>North Kent</w:t>
            </w:r>
          </w:p>
        </w:tc>
        <w:tc>
          <w:tcPr>
            <w:tcW w:w="2748" w:type="dxa"/>
            <w:tcBorders>
              <w:top w:val="single" w:sz="4" w:space="0" w:color="000000"/>
            </w:tcBorders>
          </w:tcPr>
          <w:p w:rsidR="009912C8" w:rsidRPr="009912C8" w:rsidRDefault="009912C8" w:rsidP="009912C8">
            <w:pPr>
              <w:rPr>
                <w:rFonts w:ascii="Arial" w:hAnsi="Arial" w:cs="Arial"/>
                <w:sz w:val="22"/>
              </w:rPr>
            </w:pPr>
            <w:r w:rsidRPr="009912C8">
              <w:rPr>
                <w:rFonts w:ascii="Arial" w:hAnsi="Arial" w:cs="Arial"/>
                <w:sz w:val="22"/>
              </w:rPr>
              <w:t>Dartford</w:t>
            </w:r>
          </w:p>
        </w:tc>
        <w:tc>
          <w:tcPr>
            <w:tcW w:w="2126" w:type="dxa"/>
            <w:tcBorders>
              <w:top w:val="single" w:sz="4"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top w:val="single" w:sz="4"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162,000</w:t>
            </w:r>
          </w:p>
        </w:tc>
        <w:tc>
          <w:tcPr>
            <w:tcW w:w="1843" w:type="dxa"/>
            <w:tcBorders>
              <w:top w:val="single" w:sz="4" w:space="0" w:color="000000"/>
            </w:tcBorders>
          </w:tcPr>
          <w:p w:rsidR="009912C8" w:rsidRPr="009912C8" w:rsidRDefault="009912C8" w:rsidP="00BE1A26">
            <w:pPr>
              <w:jc w:val="center"/>
              <w:rPr>
                <w:rFonts w:ascii="Arial" w:hAnsi="Arial" w:cs="Arial"/>
                <w:sz w:val="22"/>
              </w:rPr>
            </w:pPr>
            <w:r w:rsidRPr="009912C8">
              <w:rPr>
                <w:rFonts w:ascii="Arial" w:hAnsi="Arial" w:cs="Arial"/>
                <w:sz w:val="22"/>
              </w:rPr>
              <w:t>170,000</w:t>
            </w:r>
          </w:p>
        </w:tc>
      </w:tr>
      <w:tr w:rsidR="009912C8" w:rsidRPr="00E614DF" w:rsidTr="009912C8">
        <w:tc>
          <w:tcPr>
            <w:tcW w:w="900" w:type="dxa"/>
            <w:vMerge/>
            <w:tcBorders>
              <w:top w:val="single" w:sz="2" w:space="0" w:color="000000"/>
            </w:tcBorders>
          </w:tcPr>
          <w:p w:rsidR="009912C8" w:rsidRPr="009912C8" w:rsidRDefault="009912C8" w:rsidP="006C7F7C">
            <w:pPr>
              <w:rPr>
                <w:rFonts w:ascii="Arial" w:hAnsi="Arial" w:cs="Arial"/>
                <w:sz w:val="18"/>
              </w:rPr>
            </w:pPr>
          </w:p>
        </w:tc>
        <w:tc>
          <w:tcPr>
            <w:tcW w:w="2748" w:type="dxa"/>
          </w:tcPr>
          <w:p w:rsidR="009912C8" w:rsidRPr="009912C8" w:rsidRDefault="009912C8" w:rsidP="009912C8">
            <w:pPr>
              <w:rPr>
                <w:rFonts w:ascii="Arial" w:hAnsi="Arial" w:cs="Arial"/>
                <w:sz w:val="22"/>
              </w:rPr>
            </w:pPr>
            <w:r w:rsidRPr="009912C8">
              <w:rPr>
                <w:rFonts w:ascii="Arial" w:hAnsi="Arial" w:cs="Arial"/>
                <w:sz w:val="22"/>
              </w:rPr>
              <w:t>Gravesend</w:t>
            </w:r>
          </w:p>
        </w:tc>
        <w:tc>
          <w:tcPr>
            <w:tcW w:w="2126" w:type="dxa"/>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Pr>
          <w:p w:rsidR="009912C8" w:rsidRPr="009912C8" w:rsidRDefault="009912C8" w:rsidP="006C7F7C">
            <w:pPr>
              <w:jc w:val="center"/>
              <w:rPr>
                <w:rFonts w:ascii="Arial" w:hAnsi="Arial" w:cs="Arial"/>
                <w:sz w:val="22"/>
              </w:rPr>
            </w:pPr>
            <w:r w:rsidRPr="009912C8">
              <w:rPr>
                <w:rFonts w:ascii="Arial" w:hAnsi="Arial" w:cs="Arial"/>
                <w:sz w:val="22"/>
              </w:rPr>
              <w:t>172,000</w:t>
            </w:r>
          </w:p>
        </w:tc>
        <w:tc>
          <w:tcPr>
            <w:tcW w:w="1843" w:type="dxa"/>
          </w:tcPr>
          <w:p w:rsidR="009912C8" w:rsidRPr="009912C8" w:rsidRDefault="009912C8" w:rsidP="00BE1A26">
            <w:pPr>
              <w:jc w:val="center"/>
              <w:rPr>
                <w:rFonts w:ascii="Arial" w:hAnsi="Arial" w:cs="Arial"/>
                <w:sz w:val="22"/>
              </w:rPr>
            </w:pPr>
            <w:r w:rsidRPr="009912C8">
              <w:rPr>
                <w:rFonts w:ascii="Arial" w:hAnsi="Arial" w:cs="Arial"/>
                <w:sz w:val="22"/>
              </w:rPr>
              <w:t>180,000</w:t>
            </w:r>
          </w:p>
        </w:tc>
      </w:tr>
      <w:tr w:rsidR="009912C8" w:rsidRPr="00E614DF" w:rsidTr="009912C8">
        <w:tc>
          <w:tcPr>
            <w:tcW w:w="900" w:type="dxa"/>
            <w:vMerge/>
            <w:tcBorders>
              <w:top w:val="single" w:sz="2" w:space="0" w:color="000000"/>
              <w:bottom w:val="single" w:sz="4" w:space="0" w:color="000000"/>
            </w:tcBorders>
          </w:tcPr>
          <w:p w:rsidR="009912C8" w:rsidRPr="009912C8" w:rsidRDefault="009912C8" w:rsidP="006C7F7C">
            <w:pPr>
              <w:rPr>
                <w:rFonts w:ascii="Arial" w:hAnsi="Arial" w:cs="Arial"/>
                <w:sz w:val="18"/>
              </w:rPr>
            </w:pPr>
          </w:p>
        </w:tc>
        <w:tc>
          <w:tcPr>
            <w:tcW w:w="2748" w:type="dxa"/>
            <w:tcBorders>
              <w:bottom w:val="single" w:sz="2" w:space="0" w:color="000000"/>
            </w:tcBorders>
          </w:tcPr>
          <w:p w:rsidR="009912C8" w:rsidRPr="009912C8" w:rsidRDefault="009912C8" w:rsidP="009912C8">
            <w:pPr>
              <w:rPr>
                <w:rFonts w:ascii="Arial" w:hAnsi="Arial" w:cs="Arial"/>
                <w:sz w:val="22"/>
              </w:rPr>
            </w:pPr>
            <w:r w:rsidRPr="009912C8">
              <w:rPr>
                <w:rFonts w:ascii="Arial" w:hAnsi="Arial" w:cs="Arial"/>
                <w:sz w:val="22"/>
              </w:rPr>
              <w:t>Sevenoaks</w:t>
            </w:r>
          </w:p>
        </w:tc>
        <w:tc>
          <w:tcPr>
            <w:tcW w:w="2126" w:type="dxa"/>
            <w:tcBorders>
              <w:bottom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bottom w:val="single" w:sz="2" w:space="0" w:color="000000"/>
            </w:tcBorders>
            <w:shd w:val="clear" w:color="auto" w:fill="FFFFFF" w:themeFill="background1"/>
          </w:tcPr>
          <w:p w:rsidR="009912C8" w:rsidRPr="009912C8" w:rsidRDefault="009912C8" w:rsidP="006C7F7C">
            <w:pPr>
              <w:jc w:val="center"/>
              <w:rPr>
                <w:rFonts w:ascii="Arial" w:hAnsi="Arial" w:cs="Arial"/>
                <w:sz w:val="22"/>
              </w:rPr>
            </w:pPr>
            <w:r w:rsidRPr="009912C8">
              <w:rPr>
                <w:rFonts w:ascii="Arial" w:hAnsi="Arial" w:cs="Arial"/>
                <w:sz w:val="22"/>
              </w:rPr>
              <w:t>117,000</w:t>
            </w:r>
          </w:p>
        </w:tc>
        <w:tc>
          <w:tcPr>
            <w:tcW w:w="1843" w:type="dxa"/>
            <w:tcBorders>
              <w:bottom w:val="single" w:sz="2" w:space="0" w:color="000000"/>
            </w:tcBorders>
            <w:shd w:val="clear" w:color="auto" w:fill="FFFFFF" w:themeFill="background1"/>
          </w:tcPr>
          <w:p w:rsidR="009912C8" w:rsidRPr="009912C8" w:rsidRDefault="009912C8" w:rsidP="00BE1A26">
            <w:pPr>
              <w:jc w:val="center"/>
              <w:rPr>
                <w:rFonts w:ascii="Arial" w:hAnsi="Arial" w:cs="Arial"/>
                <w:sz w:val="22"/>
              </w:rPr>
            </w:pPr>
            <w:r w:rsidRPr="009912C8">
              <w:rPr>
                <w:rFonts w:ascii="Arial" w:hAnsi="Arial" w:cs="Arial"/>
                <w:sz w:val="22"/>
              </w:rPr>
              <w:t>125,000</w:t>
            </w:r>
          </w:p>
        </w:tc>
      </w:tr>
      <w:tr w:rsidR="009912C8" w:rsidRPr="00E614DF" w:rsidTr="009912C8">
        <w:tc>
          <w:tcPr>
            <w:tcW w:w="900" w:type="dxa"/>
            <w:vMerge w:val="restart"/>
            <w:tcBorders>
              <w:top w:val="single" w:sz="2" w:space="0" w:color="000000"/>
            </w:tcBorders>
            <w:textDirection w:val="btLr"/>
          </w:tcPr>
          <w:p w:rsidR="009912C8" w:rsidRPr="009912C8" w:rsidRDefault="009912C8" w:rsidP="006C7F7C">
            <w:pPr>
              <w:ind w:left="113" w:right="113"/>
              <w:rPr>
                <w:rFonts w:ascii="Arial" w:hAnsi="Arial" w:cs="Arial"/>
                <w:b/>
                <w:sz w:val="18"/>
              </w:rPr>
            </w:pPr>
            <w:r w:rsidRPr="009912C8">
              <w:rPr>
                <w:rFonts w:ascii="Arial" w:hAnsi="Arial" w:cs="Arial"/>
                <w:b/>
                <w:sz w:val="18"/>
              </w:rPr>
              <w:t>West Kent</w:t>
            </w:r>
          </w:p>
        </w:tc>
        <w:tc>
          <w:tcPr>
            <w:tcW w:w="2748" w:type="dxa"/>
            <w:tcBorders>
              <w:top w:val="single" w:sz="2" w:space="0" w:color="000000"/>
            </w:tcBorders>
          </w:tcPr>
          <w:p w:rsidR="009912C8" w:rsidRPr="009912C8" w:rsidRDefault="009912C8" w:rsidP="006C7F7C">
            <w:pPr>
              <w:rPr>
                <w:rFonts w:ascii="Arial" w:hAnsi="Arial" w:cs="Arial"/>
                <w:sz w:val="22"/>
              </w:rPr>
            </w:pPr>
            <w:r w:rsidRPr="009912C8">
              <w:rPr>
                <w:rFonts w:ascii="Arial" w:hAnsi="Arial" w:cs="Arial"/>
                <w:sz w:val="22"/>
              </w:rPr>
              <w:t>Tonbridge &amp; Malling</w:t>
            </w:r>
          </w:p>
        </w:tc>
        <w:tc>
          <w:tcPr>
            <w:tcW w:w="2126" w:type="dxa"/>
            <w:tcBorders>
              <w:top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top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182,000</w:t>
            </w:r>
          </w:p>
        </w:tc>
        <w:tc>
          <w:tcPr>
            <w:tcW w:w="1843" w:type="dxa"/>
            <w:tcBorders>
              <w:top w:val="single" w:sz="2" w:space="0" w:color="000000"/>
            </w:tcBorders>
          </w:tcPr>
          <w:p w:rsidR="009912C8" w:rsidRPr="009912C8" w:rsidRDefault="009912C8" w:rsidP="00BE1A26">
            <w:pPr>
              <w:jc w:val="center"/>
              <w:rPr>
                <w:rFonts w:ascii="Arial" w:hAnsi="Arial" w:cs="Arial"/>
                <w:sz w:val="22"/>
              </w:rPr>
            </w:pPr>
            <w:r w:rsidRPr="009912C8">
              <w:rPr>
                <w:rFonts w:ascii="Arial" w:hAnsi="Arial" w:cs="Arial"/>
                <w:sz w:val="22"/>
              </w:rPr>
              <w:t>190,000</w:t>
            </w:r>
          </w:p>
        </w:tc>
      </w:tr>
      <w:tr w:rsidR="009912C8" w:rsidRPr="00E614DF" w:rsidTr="009912C8">
        <w:tc>
          <w:tcPr>
            <w:tcW w:w="900" w:type="dxa"/>
            <w:vMerge/>
            <w:tcBorders>
              <w:top w:val="single" w:sz="2" w:space="0" w:color="000000"/>
            </w:tcBorders>
          </w:tcPr>
          <w:p w:rsidR="009912C8" w:rsidRPr="009912C8" w:rsidRDefault="009912C8" w:rsidP="006C7F7C">
            <w:pPr>
              <w:rPr>
                <w:rFonts w:ascii="Arial" w:hAnsi="Arial" w:cs="Arial"/>
                <w:sz w:val="18"/>
              </w:rPr>
            </w:pPr>
          </w:p>
        </w:tc>
        <w:tc>
          <w:tcPr>
            <w:tcW w:w="2748" w:type="dxa"/>
            <w:tcBorders>
              <w:bottom w:val="single" w:sz="4" w:space="0" w:color="000000"/>
            </w:tcBorders>
          </w:tcPr>
          <w:p w:rsidR="009912C8" w:rsidRPr="009912C8" w:rsidRDefault="009912C8" w:rsidP="006C7F7C">
            <w:pPr>
              <w:rPr>
                <w:rFonts w:ascii="Arial" w:hAnsi="Arial" w:cs="Arial"/>
                <w:sz w:val="22"/>
              </w:rPr>
            </w:pPr>
            <w:r w:rsidRPr="009912C8">
              <w:rPr>
                <w:rFonts w:ascii="Arial" w:hAnsi="Arial" w:cs="Arial"/>
                <w:sz w:val="22"/>
              </w:rPr>
              <w:t>Tunbridge Wells</w:t>
            </w:r>
          </w:p>
        </w:tc>
        <w:tc>
          <w:tcPr>
            <w:tcW w:w="2126" w:type="dxa"/>
            <w:tcBorders>
              <w:bottom w:val="single" w:sz="4"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bottom w:val="single" w:sz="4" w:space="0" w:color="000000"/>
            </w:tcBorders>
            <w:shd w:val="clear" w:color="auto" w:fill="FFFFFF" w:themeFill="background1"/>
          </w:tcPr>
          <w:p w:rsidR="009912C8" w:rsidRPr="009912C8" w:rsidRDefault="009912C8" w:rsidP="006C7F7C">
            <w:pPr>
              <w:jc w:val="center"/>
              <w:rPr>
                <w:rFonts w:ascii="Arial" w:hAnsi="Arial" w:cs="Arial"/>
                <w:sz w:val="22"/>
              </w:rPr>
            </w:pPr>
            <w:r w:rsidRPr="009912C8">
              <w:rPr>
                <w:rFonts w:ascii="Arial" w:hAnsi="Arial" w:cs="Arial"/>
                <w:sz w:val="22"/>
              </w:rPr>
              <w:t>167,000</w:t>
            </w:r>
          </w:p>
        </w:tc>
        <w:tc>
          <w:tcPr>
            <w:tcW w:w="1843" w:type="dxa"/>
            <w:tcBorders>
              <w:bottom w:val="single" w:sz="4" w:space="0" w:color="000000"/>
            </w:tcBorders>
            <w:shd w:val="clear" w:color="auto" w:fill="FFFFFF" w:themeFill="background1"/>
          </w:tcPr>
          <w:p w:rsidR="009912C8" w:rsidRPr="009912C8" w:rsidRDefault="009912C8" w:rsidP="00BE1A26">
            <w:pPr>
              <w:jc w:val="center"/>
              <w:rPr>
                <w:rFonts w:ascii="Arial" w:hAnsi="Arial" w:cs="Arial"/>
                <w:sz w:val="22"/>
              </w:rPr>
            </w:pPr>
            <w:r w:rsidRPr="009912C8">
              <w:rPr>
                <w:rFonts w:ascii="Arial" w:hAnsi="Arial" w:cs="Arial"/>
                <w:sz w:val="22"/>
              </w:rPr>
              <w:t>175,000</w:t>
            </w:r>
          </w:p>
        </w:tc>
      </w:tr>
      <w:tr w:rsidR="009912C8" w:rsidRPr="00E614DF" w:rsidTr="009912C8">
        <w:tc>
          <w:tcPr>
            <w:tcW w:w="900" w:type="dxa"/>
            <w:vMerge/>
            <w:tcBorders>
              <w:top w:val="single" w:sz="2" w:space="0" w:color="000000"/>
              <w:bottom w:val="single" w:sz="4" w:space="0" w:color="000000"/>
              <w:right w:val="single" w:sz="2" w:space="0" w:color="000000"/>
            </w:tcBorders>
          </w:tcPr>
          <w:p w:rsidR="009912C8" w:rsidRPr="009912C8" w:rsidRDefault="009912C8" w:rsidP="006C7F7C">
            <w:pPr>
              <w:rPr>
                <w:rFonts w:ascii="Arial" w:hAnsi="Arial" w:cs="Arial"/>
                <w:sz w:val="18"/>
              </w:rPr>
            </w:pPr>
          </w:p>
        </w:tc>
        <w:tc>
          <w:tcPr>
            <w:tcW w:w="2748" w:type="dxa"/>
            <w:tcBorders>
              <w:left w:val="single" w:sz="2" w:space="0" w:color="000000"/>
              <w:bottom w:val="single" w:sz="2" w:space="0" w:color="000000"/>
            </w:tcBorders>
          </w:tcPr>
          <w:p w:rsidR="009912C8" w:rsidRPr="009912C8" w:rsidRDefault="009912C8" w:rsidP="009912C8">
            <w:pPr>
              <w:rPr>
                <w:rFonts w:ascii="Arial" w:hAnsi="Arial" w:cs="Arial"/>
                <w:sz w:val="22"/>
              </w:rPr>
            </w:pPr>
            <w:r w:rsidRPr="009912C8">
              <w:rPr>
                <w:rFonts w:ascii="Arial" w:hAnsi="Arial" w:cs="Arial"/>
                <w:sz w:val="22"/>
              </w:rPr>
              <w:t>Maidstone</w:t>
            </w:r>
          </w:p>
        </w:tc>
        <w:tc>
          <w:tcPr>
            <w:tcW w:w="2126" w:type="dxa"/>
            <w:tcBorders>
              <w:bottom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bottom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232,000</w:t>
            </w:r>
          </w:p>
        </w:tc>
        <w:tc>
          <w:tcPr>
            <w:tcW w:w="1843" w:type="dxa"/>
            <w:tcBorders>
              <w:bottom w:val="single" w:sz="2" w:space="0" w:color="000000"/>
            </w:tcBorders>
          </w:tcPr>
          <w:p w:rsidR="009912C8" w:rsidRPr="009912C8" w:rsidRDefault="009912C8" w:rsidP="00BE1A26">
            <w:pPr>
              <w:jc w:val="center"/>
              <w:rPr>
                <w:rFonts w:ascii="Arial" w:hAnsi="Arial" w:cs="Arial"/>
                <w:sz w:val="22"/>
              </w:rPr>
            </w:pPr>
            <w:r w:rsidRPr="009912C8">
              <w:rPr>
                <w:rFonts w:ascii="Arial" w:hAnsi="Arial" w:cs="Arial"/>
                <w:sz w:val="22"/>
              </w:rPr>
              <w:t>240,000</w:t>
            </w:r>
          </w:p>
        </w:tc>
      </w:tr>
      <w:tr w:rsidR="009912C8" w:rsidRPr="00E614DF" w:rsidTr="009912C8">
        <w:tc>
          <w:tcPr>
            <w:tcW w:w="900" w:type="dxa"/>
            <w:vMerge w:val="restart"/>
            <w:tcBorders>
              <w:top w:val="single" w:sz="4" w:space="0" w:color="000000"/>
              <w:right w:val="single" w:sz="2" w:space="0" w:color="000000"/>
            </w:tcBorders>
            <w:textDirection w:val="btLr"/>
          </w:tcPr>
          <w:p w:rsidR="009912C8" w:rsidRPr="009912C8" w:rsidRDefault="009912C8" w:rsidP="006C7F7C">
            <w:pPr>
              <w:ind w:left="113" w:right="113"/>
              <w:rPr>
                <w:rFonts w:ascii="Arial" w:hAnsi="Arial" w:cs="Arial"/>
                <w:b/>
                <w:sz w:val="18"/>
              </w:rPr>
            </w:pPr>
            <w:r w:rsidRPr="009912C8">
              <w:rPr>
                <w:rFonts w:ascii="Arial" w:hAnsi="Arial" w:cs="Arial"/>
                <w:b/>
                <w:sz w:val="18"/>
              </w:rPr>
              <w:t>East Kent</w:t>
            </w:r>
          </w:p>
        </w:tc>
        <w:tc>
          <w:tcPr>
            <w:tcW w:w="2748" w:type="dxa"/>
            <w:tcBorders>
              <w:top w:val="single" w:sz="2" w:space="0" w:color="000000"/>
              <w:left w:val="single" w:sz="2" w:space="0" w:color="000000"/>
            </w:tcBorders>
          </w:tcPr>
          <w:p w:rsidR="009912C8" w:rsidRPr="009912C8" w:rsidRDefault="009912C8" w:rsidP="009912C8">
            <w:pPr>
              <w:rPr>
                <w:rFonts w:ascii="Arial" w:hAnsi="Arial" w:cs="Arial"/>
                <w:sz w:val="22"/>
              </w:rPr>
            </w:pPr>
            <w:r w:rsidRPr="009912C8">
              <w:rPr>
                <w:rFonts w:ascii="Arial" w:hAnsi="Arial" w:cs="Arial"/>
                <w:sz w:val="22"/>
              </w:rPr>
              <w:t>Swale</w:t>
            </w:r>
          </w:p>
        </w:tc>
        <w:tc>
          <w:tcPr>
            <w:tcW w:w="2126" w:type="dxa"/>
            <w:tcBorders>
              <w:top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top w:val="single" w:sz="2" w:space="0" w:color="000000"/>
            </w:tcBorders>
            <w:shd w:val="clear" w:color="auto" w:fill="FFFFFF" w:themeFill="background1"/>
          </w:tcPr>
          <w:p w:rsidR="009912C8" w:rsidRPr="009912C8" w:rsidRDefault="009912C8" w:rsidP="006C7F7C">
            <w:pPr>
              <w:jc w:val="center"/>
              <w:rPr>
                <w:rFonts w:ascii="Arial" w:hAnsi="Arial" w:cs="Arial"/>
                <w:sz w:val="22"/>
              </w:rPr>
            </w:pPr>
            <w:r w:rsidRPr="009912C8">
              <w:rPr>
                <w:rFonts w:ascii="Arial" w:hAnsi="Arial" w:cs="Arial"/>
                <w:sz w:val="22"/>
              </w:rPr>
              <w:t>207,000</w:t>
            </w:r>
          </w:p>
        </w:tc>
        <w:tc>
          <w:tcPr>
            <w:tcW w:w="1843" w:type="dxa"/>
            <w:tcBorders>
              <w:top w:val="single" w:sz="2" w:space="0" w:color="000000"/>
            </w:tcBorders>
            <w:shd w:val="clear" w:color="auto" w:fill="FFFFFF" w:themeFill="background1"/>
          </w:tcPr>
          <w:p w:rsidR="009912C8" w:rsidRPr="009912C8" w:rsidRDefault="009912C8" w:rsidP="00BE1A26">
            <w:pPr>
              <w:jc w:val="center"/>
              <w:rPr>
                <w:rFonts w:ascii="Arial" w:hAnsi="Arial" w:cs="Arial"/>
                <w:sz w:val="22"/>
              </w:rPr>
            </w:pPr>
            <w:r w:rsidRPr="009912C8">
              <w:rPr>
                <w:rFonts w:ascii="Arial" w:hAnsi="Arial" w:cs="Arial"/>
                <w:sz w:val="22"/>
              </w:rPr>
              <w:t>215,000</w:t>
            </w:r>
          </w:p>
        </w:tc>
      </w:tr>
      <w:tr w:rsidR="009912C8" w:rsidRPr="00E614DF" w:rsidTr="009912C8">
        <w:tc>
          <w:tcPr>
            <w:tcW w:w="900" w:type="dxa"/>
            <w:vMerge/>
            <w:tcBorders>
              <w:top w:val="single" w:sz="2" w:space="0" w:color="000000"/>
            </w:tcBorders>
          </w:tcPr>
          <w:p w:rsidR="009912C8" w:rsidRPr="009912C8" w:rsidRDefault="009912C8" w:rsidP="006C7F7C">
            <w:pPr>
              <w:rPr>
                <w:rFonts w:ascii="Arial" w:hAnsi="Arial" w:cs="Arial"/>
                <w:sz w:val="18"/>
              </w:rPr>
            </w:pPr>
          </w:p>
        </w:tc>
        <w:tc>
          <w:tcPr>
            <w:tcW w:w="2748" w:type="dxa"/>
            <w:tcBorders>
              <w:bottom w:val="single" w:sz="4" w:space="0" w:color="000000"/>
            </w:tcBorders>
          </w:tcPr>
          <w:p w:rsidR="009912C8" w:rsidRPr="009912C8" w:rsidRDefault="009912C8" w:rsidP="009912C8">
            <w:pPr>
              <w:rPr>
                <w:rFonts w:ascii="Arial" w:hAnsi="Arial" w:cs="Arial"/>
                <w:sz w:val="22"/>
              </w:rPr>
            </w:pPr>
            <w:r w:rsidRPr="009912C8">
              <w:rPr>
                <w:rFonts w:ascii="Arial" w:hAnsi="Arial" w:cs="Arial"/>
                <w:sz w:val="22"/>
              </w:rPr>
              <w:t>Canterbury</w:t>
            </w:r>
          </w:p>
        </w:tc>
        <w:tc>
          <w:tcPr>
            <w:tcW w:w="2126" w:type="dxa"/>
            <w:tcBorders>
              <w:bottom w:val="single" w:sz="4"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bottom w:val="single" w:sz="4"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192,000</w:t>
            </w:r>
          </w:p>
        </w:tc>
        <w:tc>
          <w:tcPr>
            <w:tcW w:w="1843" w:type="dxa"/>
            <w:tcBorders>
              <w:bottom w:val="single" w:sz="4" w:space="0" w:color="000000"/>
            </w:tcBorders>
          </w:tcPr>
          <w:p w:rsidR="009912C8" w:rsidRPr="009912C8" w:rsidRDefault="009912C8" w:rsidP="00BE1A26">
            <w:pPr>
              <w:jc w:val="center"/>
              <w:rPr>
                <w:rFonts w:ascii="Arial" w:hAnsi="Arial" w:cs="Arial"/>
                <w:sz w:val="22"/>
              </w:rPr>
            </w:pPr>
            <w:r w:rsidRPr="009912C8">
              <w:rPr>
                <w:rFonts w:ascii="Arial" w:hAnsi="Arial" w:cs="Arial"/>
                <w:sz w:val="22"/>
              </w:rPr>
              <w:t>200,000</w:t>
            </w:r>
          </w:p>
        </w:tc>
      </w:tr>
      <w:tr w:rsidR="009912C8" w:rsidRPr="00E614DF" w:rsidTr="009912C8">
        <w:tc>
          <w:tcPr>
            <w:tcW w:w="900" w:type="dxa"/>
            <w:vMerge/>
            <w:tcBorders>
              <w:top w:val="single" w:sz="2" w:space="0" w:color="000000"/>
              <w:bottom w:val="single" w:sz="4" w:space="0" w:color="000000"/>
              <w:right w:val="single" w:sz="2" w:space="0" w:color="000000"/>
            </w:tcBorders>
          </w:tcPr>
          <w:p w:rsidR="009912C8" w:rsidRPr="009912C8" w:rsidRDefault="009912C8" w:rsidP="006C7F7C">
            <w:pPr>
              <w:rPr>
                <w:rFonts w:ascii="Arial" w:hAnsi="Arial" w:cs="Arial"/>
                <w:sz w:val="18"/>
              </w:rPr>
            </w:pPr>
          </w:p>
        </w:tc>
        <w:tc>
          <w:tcPr>
            <w:tcW w:w="2748" w:type="dxa"/>
            <w:tcBorders>
              <w:left w:val="single" w:sz="2" w:space="0" w:color="000000"/>
              <w:bottom w:val="single" w:sz="2" w:space="0" w:color="000000"/>
            </w:tcBorders>
          </w:tcPr>
          <w:p w:rsidR="009912C8" w:rsidRPr="009912C8" w:rsidRDefault="009912C8" w:rsidP="009912C8">
            <w:pPr>
              <w:rPr>
                <w:rFonts w:ascii="Arial" w:hAnsi="Arial" w:cs="Arial"/>
                <w:sz w:val="22"/>
              </w:rPr>
            </w:pPr>
            <w:r w:rsidRPr="009912C8">
              <w:rPr>
                <w:rFonts w:ascii="Arial" w:hAnsi="Arial" w:cs="Arial"/>
                <w:sz w:val="22"/>
              </w:rPr>
              <w:t>Thanet</w:t>
            </w:r>
          </w:p>
        </w:tc>
        <w:tc>
          <w:tcPr>
            <w:tcW w:w="2126" w:type="dxa"/>
            <w:tcBorders>
              <w:bottom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bottom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272,000</w:t>
            </w:r>
          </w:p>
        </w:tc>
        <w:tc>
          <w:tcPr>
            <w:tcW w:w="1843" w:type="dxa"/>
            <w:tcBorders>
              <w:bottom w:val="single" w:sz="2" w:space="0" w:color="000000"/>
            </w:tcBorders>
          </w:tcPr>
          <w:p w:rsidR="009912C8" w:rsidRPr="009912C8" w:rsidRDefault="009912C8" w:rsidP="00BE1A26">
            <w:pPr>
              <w:jc w:val="center"/>
              <w:rPr>
                <w:rFonts w:ascii="Arial" w:hAnsi="Arial" w:cs="Arial"/>
                <w:sz w:val="22"/>
              </w:rPr>
            </w:pPr>
            <w:r w:rsidRPr="009912C8">
              <w:rPr>
                <w:rFonts w:ascii="Arial" w:hAnsi="Arial" w:cs="Arial"/>
                <w:sz w:val="22"/>
              </w:rPr>
              <w:t>280,000</w:t>
            </w:r>
          </w:p>
        </w:tc>
      </w:tr>
      <w:tr w:rsidR="009912C8" w:rsidRPr="00E614DF" w:rsidTr="009912C8">
        <w:tc>
          <w:tcPr>
            <w:tcW w:w="900" w:type="dxa"/>
            <w:vMerge w:val="restart"/>
            <w:tcBorders>
              <w:top w:val="single" w:sz="2" w:space="0" w:color="000000"/>
              <w:right w:val="single" w:sz="2" w:space="0" w:color="000000"/>
            </w:tcBorders>
            <w:textDirection w:val="btLr"/>
          </w:tcPr>
          <w:p w:rsidR="009912C8" w:rsidRPr="009912C8" w:rsidRDefault="009912C8" w:rsidP="006C7F7C">
            <w:pPr>
              <w:ind w:left="113" w:right="113"/>
              <w:rPr>
                <w:rFonts w:ascii="Arial" w:hAnsi="Arial" w:cs="Arial"/>
                <w:b/>
                <w:sz w:val="18"/>
              </w:rPr>
            </w:pPr>
            <w:r w:rsidRPr="009912C8">
              <w:rPr>
                <w:rFonts w:ascii="Arial" w:hAnsi="Arial" w:cs="Arial"/>
                <w:b/>
                <w:sz w:val="18"/>
              </w:rPr>
              <w:t>South Kent</w:t>
            </w:r>
          </w:p>
        </w:tc>
        <w:tc>
          <w:tcPr>
            <w:tcW w:w="2748" w:type="dxa"/>
            <w:tcBorders>
              <w:top w:val="single" w:sz="2" w:space="0" w:color="000000"/>
              <w:left w:val="single" w:sz="2" w:space="0" w:color="000000"/>
            </w:tcBorders>
          </w:tcPr>
          <w:p w:rsidR="009912C8" w:rsidRPr="009912C8" w:rsidRDefault="009912C8" w:rsidP="009912C8">
            <w:pPr>
              <w:rPr>
                <w:rFonts w:ascii="Arial" w:hAnsi="Arial" w:cs="Arial"/>
                <w:sz w:val="22"/>
              </w:rPr>
            </w:pPr>
            <w:r w:rsidRPr="009912C8">
              <w:rPr>
                <w:rFonts w:ascii="Arial" w:hAnsi="Arial" w:cs="Arial"/>
                <w:sz w:val="22"/>
              </w:rPr>
              <w:t>Ashford</w:t>
            </w:r>
          </w:p>
        </w:tc>
        <w:tc>
          <w:tcPr>
            <w:tcW w:w="2126" w:type="dxa"/>
            <w:tcBorders>
              <w:top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top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202,000</w:t>
            </w:r>
          </w:p>
        </w:tc>
        <w:tc>
          <w:tcPr>
            <w:tcW w:w="1843" w:type="dxa"/>
            <w:tcBorders>
              <w:top w:val="single" w:sz="2" w:space="0" w:color="000000"/>
            </w:tcBorders>
          </w:tcPr>
          <w:p w:rsidR="009912C8" w:rsidRPr="009912C8" w:rsidRDefault="009912C8" w:rsidP="00BE1A26">
            <w:pPr>
              <w:jc w:val="center"/>
              <w:rPr>
                <w:rFonts w:ascii="Arial" w:hAnsi="Arial" w:cs="Arial"/>
                <w:sz w:val="22"/>
              </w:rPr>
            </w:pPr>
            <w:r w:rsidRPr="009912C8">
              <w:rPr>
                <w:rFonts w:ascii="Arial" w:hAnsi="Arial" w:cs="Arial"/>
                <w:sz w:val="22"/>
              </w:rPr>
              <w:t>210,000</w:t>
            </w:r>
          </w:p>
        </w:tc>
      </w:tr>
      <w:tr w:rsidR="009912C8" w:rsidRPr="00E614DF" w:rsidTr="009912C8">
        <w:tc>
          <w:tcPr>
            <w:tcW w:w="900" w:type="dxa"/>
            <w:vMerge/>
            <w:tcBorders>
              <w:top w:val="single" w:sz="2" w:space="0" w:color="000000"/>
            </w:tcBorders>
          </w:tcPr>
          <w:p w:rsidR="009912C8" w:rsidRPr="00E31F49" w:rsidRDefault="009912C8" w:rsidP="006C7F7C">
            <w:pPr>
              <w:rPr>
                <w:sz w:val="18"/>
                <w:szCs w:val="18"/>
              </w:rPr>
            </w:pPr>
          </w:p>
        </w:tc>
        <w:tc>
          <w:tcPr>
            <w:tcW w:w="2748" w:type="dxa"/>
          </w:tcPr>
          <w:p w:rsidR="009912C8" w:rsidRPr="009912C8" w:rsidRDefault="009912C8" w:rsidP="009912C8">
            <w:pPr>
              <w:rPr>
                <w:rFonts w:ascii="Arial" w:hAnsi="Arial" w:cs="Arial"/>
                <w:sz w:val="22"/>
              </w:rPr>
            </w:pPr>
            <w:r w:rsidRPr="009912C8">
              <w:rPr>
                <w:rFonts w:ascii="Arial" w:hAnsi="Arial" w:cs="Arial"/>
                <w:sz w:val="22"/>
              </w:rPr>
              <w:t>Shepway</w:t>
            </w:r>
          </w:p>
        </w:tc>
        <w:tc>
          <w:tcPr>
            <w:tcW w:w="2126" w:type="dxa"/>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Pr>
          <w:p w:rsidR="009912C8" w:rsidRPr="009912C8" w:rsidRDefault="009912C8" w:rsidP="006C7F7C">
            <w:pPr>
              <w:jc w:val="center"/>
              <w:rPr>
                <w:rFonts w:ascii="Arial" w:hAnsi="Arial" w:cs="Arial"/>
                <w:sz w:val="22"/>
              </w:rPr>
            </w:pPr>
            <w:r w:rsidRPr="009912C8">
              <w:rPr>
                <w:rFonts w:ascii="Arial" w:hAnsi="Arial" w:cs="Arial"/>
                <w:sz w:val="22"/>
              </w:rPr>
              <w:t>192,000</w:t>
            </w:r>
          </w:p>
        </w:tc>
        <w:tc>
          <w:tcPr>
            <w:tcW w:w="1843" w:type="dxa"/>
          </w:tcPr>
          <w:p w:rsidR="009912C8" w:rsidRPr="009912C8" w:rsidRDefault="009912C8" w:rsidP="00BE1A26">
            <w:pPr>
              <w:jc w:val="center"/>
              <w:rPr>
                <w:rFonts w:ascii="Arial" w:hAnsi="Arial" w:cs="Arial"/>
                <w:sz w:val="22"/>
              </w:rPr>
            </w:pPr>
            <w:r w:rsidRPr="009912C8">
              <w:rPr>
                <w:rFonts w:ascii="Arial" w:hAnsi="Arial" w:cs="Arial"/>
                <w:sz w:val="22"/>
              </w:rPr>
              <w:t>200,000</w:t>
            </w:r>
          </w:p>
        </w:tc>
      </w:tr>
      <w:tr w:rsidR="009912C8" w:rsidRPr="00E614DF" w:rsidTr="009912C8">
        <w:tc>
          <w:tcPr>
            <w:tcW w:w="900" w:type="dxa"/>
            <w:vMerge/>
            <w:tcBorders>
              <w:top w:val="single" w:sz="2" w:space="0" w:color="000000"/>
            </w:tcBorders>
          </w:tcPr>
          <w:p w:rsidR="009912C8" w:rsidRPr="00E31F49" w:rsidRDefault="009912C8" w:rsidP="006C7F7C">
            <w:pPr>
              <w:rPr>
                <w:sz w:val="18"/>
                <w:szCs w:val="18"/>
              </w:rPr>
            </w:pPr>
          </w:p>
        </w:tc>
        <w:tc>
          <w:tcPr>
            <w:tcW w:w="2748" w:type="dxa"/>
          </w:tcPr>
          <w:p w:rsidR="009912C8" w:rsidRPr="009912C8" w:rsidRDefault="009912C8" w:rsidP="009912C8">
            <w:pPr>
              <w:rPr>
                <w:rFonts w:ascii="Arial" w:hAnsi="Arial" w:cs="Arial"/>
                <w:sz w:val="22"/>
              </w:rPr>
            </w:pPr>
            <w:r w:rsidRPr="009912C8">
              <w:rPr>
                <w:rFonts w:ascii="Arial" w:hAnsi="Arial" w:cs="Arial"/>
                <w:sz w:val="22"/>
              </w:rPr>
              <w:t>Dover</w:t>
            </w:r>
          </w:p>
        </w:tc>
        <w:tc>
          <w:tcPr>
            <w:tcW w:w="2126" w:type="dxa"/>
            <w:tcBorders>
              <w:bottom w:val="single" w:sz="8"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bottom w:val="single" w:sz="8" w:space="0" w:color="000000"/>
            </w:tcBorders>
            <w:shd w:val="clear" w:color="auto" w:fill="FFFFFF" w:themeFill="background1"/>
          </w:tcPr>
          <w:p w:rsidR="009912C8" w:rsidRPr="009912C8" w:rsidRDefault="009912C8" w:rsidP="006C7F7C">
            <w:pPr>
              <w:jc w:val="center"/>
              <w:rPr>
                <w:rFonts w:ascii="Arial" w:hAnsi="Arial" w:cs="Arial"/>
                <w:sz w:val="22"/>
              </w:rPr>
            </w:pPr>
            <w:r w:rsidRPr="009912C8">
              <w:rPr>
                <w:rFonts w:ascii="Arial" w:hAnsi="Arial" w:cs="Arial"/>
                <w:sz w:val="22"/>
              </w:rPr>
              <w:t>207,000</w:t>
            </w:r>
          </w:p>
        </w:tc>
        <w:tc>
          <w:tcPr>
            <w:tcW w:w="1843" w:type="dxa"/>
            <w:tcBorders>
              <w:bottom w:val="single" w:sz="8" w:space="0" w:color="000000"/>
            </w:tcBorders>
            <w:shd w:val="clear" w:color="auto" w:fill="FFFFFF" w:themeFill="background1"/>
          </w:tcPr>
          <w:p w:rsidR="009912C8" w:rsidRPr="009912C8" w:rsidRDefault="009912C8" w:rsidP="00BE1A26">
            <w:pPr>
              <w:jc w:val="center"/>
              <w:rPr>
                <w:rFonts w:ascii="Arial" w:hAnsi="Arial" w:cs="Arial"/>
                <w:sz w:val="22"/>
              </w:rPr>
            </w:pPr>
            <w:r w:rsidRPr="009912C8">
              <w:rPr>
                <w:rFonts w:ascii="Arial" w:hAnsi="Arial" w:cs="Arial"/>
                <w:sz w:val="22"/>
              </w:rPr>
              <w:t>215,000</w:t>
            </w:r>
          </w:p>
        </w:tc>
      </w:tr>
      <w:tr w:rsidR="009912C8" w:rsidRPr="00E614DF" w:rsidTr="009912C8">
        <w:tc>
          <w:tcPr>
            <w:tcW w:w="900" w:type="dxa"/>
          </w:tcPr>
          <w:p w:rsidR="009912C8" w:rsidRPr="00E31F49" w:rsidRDefault="009912C8" w:rsidP="006C7F7C">
            <w:pPr>
              <w:rPr>
                <w:sz w:val="18"/>
                <w:szCs w:val="18"/>
              </w:rPr>
            </w:pPr>
          </w:p>
        </w:tc>
        <w:tc>
          <w:tcPr>
            <w:tcW w:w="2748" w:type="dxa"/>
            <w:tcBorders>
              <w:right w:val="single" w:sz="8" w:space="0" w:color="000000"/>
            </w:tcBorders>
          </w:tcPr>
          <w:p w:rsidR="009912C8" w:rsidRPr="009912C8" w:rsidRDefault="009912C8" w:rsidP="006C7F7C">
            <w:pPr>
              <w:rPr>
                <w:rFonts w:ascii="Arial" w:hAnsi="Arial" w:cs="Arial"/>
                <w:sz w:val="22"/>
              </w:rPr>
            </w:pPr>
            <w:r>
              <w:rPr>
                <w:rFonts w:ascii="Arial" w:hAnsi="Arial" w:cs="Arial"/>
                <w:sz w:val="22"/>
              </w:rPr>
              <w:t>TOTALS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9912C8" w:rsidRPr="009912C8" w:rsidRDefault="009912C8" w:rsidP="006C7F7C">
            <w:pPr>
              <w:jc w:val="center"/>
              <w:rPr>
                <w:rFonts w:ascii="Arial" w:hAnsi="Arial" w:cs="Arial"/>
                <w:sz w:val="22"/>
              </w:rPr>
            </w:pPr>
            <w:r w:rsidRPr="009912C8">
              <w:rPr>
                <w:rFonts w:ascii="Arial" w:hAnsi="Arial" w:cs="Arial"/>
                <w:sz w:val="22"/>
              </w:rPr>
              <w:t>96,000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912C8" w:rsidRPr="009912C8" w:rsidRDefault="009912C8" w:rsidP="006C7F7C">
            <w:pPr>
              <w:jc w:val="center"/>
              <w:rPr>
                <w:rFonts w:ascii="Arial" w:hAnsi="Arial" w:cs="Arial"/>
                <w:sz w:val="22"/>
              </w:rPr>
            </w:pPr>
            <w:r w:rsidRPr="009912C8">
              <w:rPr>
                <w:rFonts w:ascii="Arial" w:hAnsi="Arial" w:cs="Arial"/>
                <w:sz w:val="22"/>
              </w:rPr>
              <w:t>2,304,000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912C8" w:rsidRPr="009912C8" w:rsidRDefault="009912C8" w:rsidP="00BE1A26">
            <w:pPr>
              <w:jc w:val="center"/>
              <w:rPr>
                <w:rFonts w:ascii="Arial" w:hAnsi="Arial" w:cs="Arial"/>
                <w:sz w:val="22"/>
              </w:rPr>
            </w:pPr>
            <w:r w:rsidRPr="009912C8">
              <w:rPr>
                <w:rFonts w:ascii="Arial" w:hAnsi="Arial" w:cs="Arial"/>
                <w:sz w:val="22"/>
              </w:rPr>
              <w:t>2,400,000</w:t>
            </w:r>
          </w:p>
        </w:tc>
      </w:tr>
    </w:tbl>
    <w:p w:rsidR="006C7F7C" w:rsidRDefault="006C7F7C" w:rsidP="00F3243C">
      <w:pPr>
        <w:rPr>
          <w:rFonts w:ascii="Arial" w:hAnsi="Arial"/>
          <w:b/>
          <w:u w:val="single"/>
        </w:rPr>
      </w:pPr>
    </w:p>
    <w:p w:rsidR="009902F3" w:rsidRDefault="009902F3">
      <w:pPr>
        <w:rPr>
          <w:rFonts w:ascii="Arial" w:hAnsi="Arial"/>
          <w:b/>
          <w:u w:val="single"/>
        </w:rPr>
      </w:pPr>
      <w:bookmarkStart w:id="23" w:name="SectionEDeDel"/>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C4B48" w:rsidRPr="00CD4B85" w:rsidRDefault="009912C8" w:rsidP="00CD4B85">
      <w:pPr>
        <w:pStyle w:val="Heading1"/>
        <w:rPr>
          <w:rFonts w:ascii="Arial" w:hAnsi="Arial" w:cs="Arial"/>
          <w:color w:val="auto"/>
          <w:sz w:val="24"/>
          <w:szCs w:val="24"/>
          <w:u w:val="single"/>
        </w:rPr>
      </w:pPr>
      <w:bookmarkStart w:id="24" w:name="_Pooled_Funding_(equivalent"/>
      <w:bookmarkEnd w:id="24"/>
      <w:r>
        <w:rPr>
          <w:rFonts w:ascii="Arial" w:hAnsi="Arial" w:cs="Arial"/>
          <w:color w:val="auto"/>
          <w:sz w:val="24"/>
          <w:szCs w:val="24"/>
          <w:u w:val="single"/>
        </w:rPr>
        <w:t>P</w:t>
      </w:r>
      <w:r w:rsidR="000576A2" w:rsidRPr="00CD4B85">
        <w:rPr>
          <w:rFonts w:ascii="Arial" w:hAnsi="Arial" w:cs="Arial"/>
          <w:color w:val="auto"/>
          <w:sz w:val="24"/>
          <w:szCs w:val="24"/>
          <w:u w:val="single"/>
        </w:rPr>
        <w:t>ooled Funding (equivalent of de-delegation)</w:t>
      </w:r>
    </w:p>
    <w:bookmarkEnd w:id="23"/>
    <w:p w:rsidR="009C4B48" w:rsidRDefault="009C4B48" w:rsidP="00974237">
      <w:pPr>
        <w:spacing w:before="120"/>
        <w:rPr>
          <w:rFonts w:ascii="Arial" w:hAnsi="Arial"/>
        </w:rPr>
      </w:pPr>
      <w:r w:rsidRPr="006C7F7C">
        <w:rPr>
          <w:rFonts w:ascii="Arial" w:hAnsi="Arial"/>
        </w:rPr>
        <w:t>On 7</w:t>
      </w:r>
      <w:r w:rsidR="00576D03" w:rsidRPr="006C7F7C">
        <w:rPr>
          <w:rFonts w:ascii="Arial" w:hAnsi="Arial"/>
        </w:rPr>
        <w:t xml:space="preserve"> </w:t>
      </w:r>
      <w:r w:rsidRPr="006C7F7C">
        <w:rPr>
          <w:rFonts w:ascii="Arial" w:hAnsi="Arial"/>
        </w:rPr>
        <w:t>February 2014</w:t>
      </w:r>
      <w:r w:rsidRPr="009C4B48">
        <w:rPr>
          <w:rFonts w:ascii="Arial" w:hAnsi="Arial"/>
        </w:rPr>
        <w:t xml:space="preserve">, Kent Association of Special Schools agreed to pool some specific budgets that were delegated to them in 2013-14 for the first time. </w:t>
      </w:r>
      <w:r w:rsidR="000054FE">
        <w:rPr>
          <w:rFonts w:ascii="Arial" w:hAnsi="Arial"/>
        </w:rPr>
        <w:t xml:space="preserve">This </w:t>
      </w:r>
      <w:r w:rsidR="006C7F7C">
        <w:rPr>
          <w:rFonts w:ascii="Arial" w:hAnsi="Arial"/>
        </w:rPr>
        <w:t xml:space="preserve">is a rolling annual </w:t>
      </w:r>
      <w:r w:rsidR="000054FE">
        <w:rPr>
          <w:rFonts w:ascii="Arial" w:hAnsi="Arial"/>
        </w:rPr>
        <w:t xml:space="preserve">agreement </w:t>
      </w:r>
      <w:r w:rsidR="006C7F7C">
        <w:rPr>
          <w:rFonts w:ascii="Arial" w:hAnsi="Arial"/>
        </w:rPr>
        <w:t xml:space="preserve">that </w:t>
      </w:r>
      <w:r w:rsidR="000054FE">
        <w:rPr>
          <w:rFonts w:ascii="Arial" w:hAnsi="Arial"/>
        </w:rPr>
        <w:t xml:space="preserve">applies to the maintained special schools only and </w:t>
      </w:r>
      <w:r>
        <w:rPr>
          <w:rFonts w:ascii="Arial" w:hAnsi="Arial"/>
        </w:rPr>
        <w:t>covered the following budgets:</w:t>
      </w:r>
    </w:p>
    <w:p w:rsidR="009C4B48" w:rsidRDefault="009C4B48">
      <w:pPr>
        <w:rPr>
          <w:rFonts w:ascii="Arial" w:hAnsi="Arial"/>
        </w:rPr>
      </w:pPr>
    </w:p>
    <w:tbl>
      <w:tblPr>
        <w:tblStyle w:val="TableGrid"/>
        <w:tblW w:w="0" w:type="auto"/>
        <w:tblInd w:w="392" w:type="dxa"/>
        <w:tblLook w:val="04A0" w:firstRow="1" w:lastRow="0" w:firstColumn="1" w:lastColumn="0" w:noHBand="0" w:noVBand="1"/>
      </w:tblPr>
      <w:tblGrid>
        <w:gridCol w:w="4535"/>
        <w:gridCol w:w="2127"/>
        <w:gridCol w:w="2127"/>
      </w:tblGrid>
      <w:tr w:rsidR="000054FE" w:rsidRPr="009C4B48" w:rsidTr="00385E39">
        <w:tc>
          <w:tcPr>
            <w:tcW w:w="4535" w:type="dxa"/>
          </w:tcPr>
          <w:p w:rsidR="000054FE" w:rsidRPr="009C4B48" w:rsidRDefault="000054FE">
            <w:pPr>
              <w:rPr>
                <w:rFonts w:ascii="Arial" w:hAnsi="Arial"/>
                <w:b/>
              </w:rPr>
            </w:pPr>
            <w:r w:rsidRPr="009C4B48">
              <w:rPr>
                <w:rFonts w:ascii="Arial" w:hAnsi="Arial"/>
                <w:b/>
              </w:rPr>
              <w:t>Budget Heading</w:t>
            </w:r>
          </w:p>
        </w:tc>
        <w:tc>
          <w:tcPr>
            <w:tcW w:w="2127" w:type="dxa"/>
          </w:tcPr>
          <w:p w:rsidR="000054FE" w:rsidRPr="009C4B48" w:rsidRDefault="000054FE" w:rsidP="009C4B48">
            <w:pPr>
              <w:jc w:val="center"/>
              <w:rPr>
                <w:rFonts w:ascii="Arial" w:hAnsi="Arial"/>
                <w:b/>
              </w:rPr>
            </w:pPr>
            <w:r>
              <w:rPr>
                <w:rFonts w:ascii="Arial" w:hAnsi="Arial"/>
                <w:b/>
              </w:rPr>
              <w:t>Rate per funded place</w:t>
            </w:r>
          </w:p>
        </w:tc>
        <w:tc>
          <w:tcPr>
            <w:tcW w:w="2127" w:type="dxa"/>
          </w:tcPr>
          <w:p w:rsidR="000054FE" w:rsidRDefault="000054FE" w:rsidP="000054FE">
            <w:pPr>
              <w:jc w:val="center"/>
              <w:rPr>
                <w:rFonts w:ascii="Arial" w:hAnsi="Arial"/>
                <w:b/>
              </w:rPr>
            </w:pPr>
            <w:r>
              <w:rPr>
                <w:rFonts w:ascii="Arial" w:hAnsi="Arial"/>
                <w:b/>
              </w:rPr>
              <w:t>CFR expenditure code</w:t>
            </w:r>
          </w:p>
        </w:tc>
      </w:tr>
      <w:tr w:rsidR="000054FE" w:rsidTr="00B15EE8">
        <w:tc>
          <w:tcPr>
            <w:tcW w:w="4535" w:type="dxa"/>
          </w:tcPr>
          <w:p w:rsidR="000054FE" w:rsidRDefault="000054FE">
            <w:pPr>
              <w:rPr>
                <w:rFonts w:ascii="Arial" w:hAnsi="Arial"/>
              </w:rPr>
            </w:pPr>
            <w:r>
              <w:rPr>
                <w:rFonts w:ascii="Arial" w:hAnsi="Arial"/>
              </w:rPr>
              <w:t>Schools in Financial Difficulty</w:t>
            </w:r>
          </w:p>
        </w:tc>
        <w:tc>
          <w:tcPr>
            <w:tcW w:w="2127" w:type="dxa"/>
            <w:vAlign w:val="center"/>
          </w:tcPr>
          <w:p w:rsidR="000054FE" w:rsidRDefault="000054FE" w:rsidP="00B15EE8">
            <w:pPr>
              <w:jc w:val="center"/>
              <w:rPr>
                <w:rFonts w:ascii="Arial" w:hAnsi="Arial"/>
              </w:rPr>
            </w:pPr>
            <w:r>
              <w:rPr>
                <w:rFonts w:ascii="Arial" w:hAnsi="Arial"/>
              </w:rPr>
              <w:t>£16.95</w:t>
            </w:r>
          </w:p>
        </w:tc>
        <w:tc>
          <w:tcPr>
            <w:tcW w:w="2127" w:type="dxa"/>
          </w:tcPr>
          <w:p w:rsidR="000054FE" w:rsidRDefault="000054FE" w:rsidP="000054FE">
            <w:pPr>
              <w:jc w:val="center"/>
              <w:rPr>
                <w:rFonts w:ascii="Arial" w:hAnsi="Arial"/>
              </w:rPr>
            </w:pPr>
            <w:r>
              <w:rPr>
                <w:rFonts w:ascii="Arial" w:hAnsi="Arial"/>
              </w:rPr>
              <w:t>E23</w:t>
            </w:r>
          </w:p>
        </w:tc>
      </w:tr>
      <w:tr w:rsidR="000054FE" w:rsidTr="00B15EE8">
        <w:tc>
          <w:tcPr>
            <w:tcW w:w="4535" w:type="dxa"/>
          </w:tcPr>
          <w:p w:rsidR="000054FE" w:rsidRDefault="000054FE">
            <w:pPr>
              <w:rPr>
                <w:rFonts w:ascii="Arial" w:hAnsi="Arial"/>
              </w:rPr>
            </w:pPr>
            <w:r>
              <w:rPr>
                <w:rFonts w:ascii="Arial" w:hAnsi="Arial"/>
              </w:rPr>
              <w:t>Free School Meal eligibility</w:t>
            </w:r>
          </w:p>
        </w:tc>
        <w:tc>
          <w:tcPr>
            <w:tcW w:w="2127" w:type="dxa"/>
            <w:vAlign w:val="center"/>
          </w:tcPr>
          <w:p w:rsidR="000054FE" w:rsidRDefault="000054FE" w:rsidP="00B15EE8">
            <w:pPr>
              <w:jc w:val="center"/>
              <w:rPr>
                <w:rFonts w:ascii="Arial" w:hAnsi="Arial"/>
              </w:rPr>
            </w:pPr>
            <w:r>
              <w:rPr>
                <w:rFonts w:ascii="Arial" w:hAnsi="Arial"/>
              </w:rPr>
              <w:t>£0.57</w:t>
            </w:r>
          </w:p>
        </w:tc>
        <w:tc>
          <w:tcPr>
            <w:tcW w:w="2127" w:type="dxa"/>
          </w:tcPr>
          <w:p w:rsidR="000054FE" w:rsidRDefault="000054FE" w:rsidP="000054FE">
            <w:pPr>
              <w:jc w:val="center"/>
              <w:rPr>
                <w:rFonts w:ascii="Arial" w:hAnsi="Arial"/>
              </w:rPr>
            </w:pPr>
            <w:r>
              <w:rPr>
                <w:rFonts w:ascii="Arial" w:hAnsi="Arial"/>
              </w:rPr>
              <w:t>E28</w:t>
            </w:r>
          </w:p>
        </w:tc>
      </w:tr>
      <w:tr w:rsidR="000054FE" w:rsidTr="00B15EE8">
        <w:tc>
          <w:tcPr>
            <w:tcW w:w="4535" w:type="dxa"/>
          </w:tcPr>
          <w:p w:rsidR="000054FE" w:rsidRDefault="000054FE">
            <w:pPr>
              <w:rPr>
                <w:rFonts w:ascii="Arial" w:hAnsi="Arial"/>
              </w:rPr>
            </w:pPr>
            <w:r>
              <w:rPr>
                <w:rFonts w:ascii="Arial" w:hAnsi="Arial"/>
              </w:rPr>
              <w:t>Licences and subscriptions</w:t>
            </w:r>
          </w:p>
        </w:tc>
        <w:tc>
          <w:tcPr>
            <w:tcW w:w="2127" w:type="dxa"/>
            <w:vAlign w:val="center"/>
          </w:tcPr>
          <w:p w:rsidR="000054FE" w:rsidRDefault="000054FE" w:rsidP="00B15EE8">
            <w:pPr>
              <w:jc w:val="center"/>
              <w:rPr>
                <w:rFonts w:ascii="Arial" w:hAnsi="Arial"/>
              </w:rPr>
            </w:pPr>
            <w:r>
              <w:rPr>
                <w:rFonts w:ascii="Arial" w:hAnsi="Arial"/>
              </w:rPr>
              <w:t>£3.63</w:t>
            </w:r>
          </w:p>
        </w:tc>
        <w:tc>
          <w:tcPr>
            <w:tcW w:w="2127" w:type="dxa"/>
          </w:tcPr>
          <w:p w:rsidR="000054FE" w:rsidRDefault="000054FE" w:rsidP="000054FE">
            <w:pPr>
              <w:jc w:val="center"/>
              <w:rPr>
                <w:rFonts w:ascii="Arial" w:hAnsi="Arial"/>
              </w:rPr>
            </w:pPr>
            <w:r>
              <w:rPr>
                <w:rFonts w:ascii="Arial" w:hAnsi="Arial"/>
              </w:rPr>
              <w:t>E19</w:t>
            </w:r>
          </w:p>
        </w:tc>
      </w:tr>
      <w:tr w:rsidR="000054FE" w:rsidTr="00B15EE8">
        <w:tc>
          <w:tcPr>
            <w:tcW w:w="4535" w:type="dxa"/>
          </w:tcPr>
          <w:p w:rsidR="000054FE" w:rsidRDefault="000054FE">
            <w:pPr>
              <w:rPr>
                <w:rFonts w:ascii="Arial" w:hAnsi="Arial"/>
              </w:rPr>
            </w:pPr>
            <w:r>
              <w:rPr>
                <w:rFonts w:ascii="Arial" w:hAnsi="Arial"/>
              </w:rPr>
              <w:t>Staff Supply Cover – Trade Union duties</w:t>
            </w:r>
          </w:p>
        </w:tc>
        <w:tc>
          <w:tcPr>
            <w:tcW w:w="2127" w:type="dxa"/>
            <w:vAlign w:val="center"/>
          </w:tcPr>
          <w:p w:rsidR="000054FE" w:rsidRDefault="000054FE" w:rsidP="00B15EE8">
            <w:pPr>
              <w:jc w:val="center"/>
              <w:rPr>
                <w:rFonts w:ascii="Arial" w:hAnsi="Arial"/>
              </w:rPr>
            </w:pPr>
            <w:r>
              <w:rPr>
                <w:rFonts w:ascii="Arial" w:hAnsi="Arial"/>
              </w:rPr>
              <w:t>£1.85</w:t>
            </w:r>
          </w:p>
        </w:tc>
        <w:tc>
          <w:tcPr>
            <w:tcW w:w="2127" w:type="dxa"/>
          </w:tcPr>
          <w:p w:rsidR="000054FE" w:rsidRDefault="000054FE" w:rsidP="000054FE">
            <w:pPr>
              <w:jc w:val="center"/>
              <w:rPr>
                <w:rFonts w:ascii="Arial" w:hAnsi="Arial"/>
              </w:rPr>
            </w:pPr>
            <w:r>
              <w:rPr>
                <w:rFonts w:ascii="Arial" w:hAnsi="Arial"/>
              </w:rPr>
              <w:t>E10</w:t>
            </w:r>
          </w:p>
        </w:tc>
      </w:tr>
      <w:tr w:rsidR="000054FE" w:rsidTr="00B15EE8">
        <w:tc>
          <w:tcPr>
            <w:tcW w:w="4535" w:type="dxa"/>
          </w:tcPr>
          <w:p w:rsidR="000054FE" w:rsidRDefault="000054FE">
            <w:pPr>
              <w:rPr>
                <w:rFonts w:ascii="Arial" w:hAnsi="Arial"/>
              </w:rPr>
            </w:pPr>
            <w:r>
              <w:rPr>
                <w:rFonts w:ascii="Arial" w:hAnsi="Arial"/>
              </w:rPr>
              <w:t>Staff Supply Cover – School Personnel Service support</w:t>
            </w:r>
          </w:p>
        </w:tc>
        <w:tc>
          <w:tcPr>
            <w:tcW w:w="2127" w:type="dxa"/>
            <w:vAlign w:val="center"/>
          </w:tcPr>
          <w:p w:rsidR="000054FE" w:rsidRDefault="000054FE" w:rsidP="00B15EE8">
            <w:pPr>
              <w:jc w:val="center"/>
              <w:rPr>
                <w:rFonts w:ascii="Arial" w:hAnsi="Arial"/>
              </w:rPr>
            </w:pPr>
            <w:r>
              <w:rPr>
                <w:rFonts w:ascii="Arial" w:hAnsi="Arial"/>
              </w:rPr>
              <w:t>£0.80</w:t>
            </w:r>
          </w:p>
        </w:tc>
        <w:tc>
          <w:tcPr>
            <w:tcW w:w="2127" w:type="dxa"/>
          </w:tcPr>
          <w:p w:rsidR="000054FE" w:rsidRDefault="000054FE" w:rsidP="000054FE">
            <w:pPr>
              <w:jc w:val="center"/>
              <w:rPr>
                <w:rFonts w:ascii="Arial" w:hAnsi="Arial"/>
              </w:rPr>
            </w:pPr>
            <w:r>
              <w:rPr>
                <w:rFonts w:ascii="Arial" w:hAnsi="Arial"/>
              </w:rPr>
              <w:t>E28</w:t>
            </w:r>
          </w:p>
        </w:tc>
      </w:tr>
      <w:tr w:rsidR="000054FE" w:rsidTr="00B15EE8">
        <w:tc>
          <w:tcPr>
            <w:tcW w:w="4535" w:type="dxa"/>
          </w:tcPr>
          <w:p w:rsidR="000054FE" w:rsidRDefault="000054FE">
            <w:pPr>
              <w:rPr>
                <w:rFonts w:ascii="Arial" w:hAnsi="Arial"/>
              </w:rPr>
            </w:pPr>
          </w:p>
        </w:tc>
        <w:tc>
          <w:tcPr>
            <w:tcW w:w="2127" w:type="dxa"/>
            <w:vAlign w:val="center"/>
          </w:tcPr>
          <w:p w:rsidR="000054FE" w:rsidRDefault="000054FE" w:rsidP="00B15EE8">
            <w:pPr>
              <w:jc w:val="center"/>
              <w:rPr>
                <w:rFonts w:ascii="Arial" w:hAnsi="Arial"/>
              </w:rPr>
            </w:pPr>
            <w:r>
              <w:rPr>
                <w:rFonts w:ascii="Arial" w:hAnsi="Arial"/>
              </w:rPr>
              <w:t>£23.80</w:t>
            </w:r>
          </w:p>
        </w:tc>
        <w:tc>
          <w:tcPr>
            <w:tcW w:w="2127" w:type="dxa"/>
          </w:tcPr>
          <w:p w:rsidR="000054FE" w:rsidRDefault="000054FE" w:rsidP="000054FE">
            <w:pPr>
              <w:jc w:val="center"/>
              <w:rPr>
                <w:rFonts w:ascii="Arial" w:hAnsi="Arial"/>
              </w:rPr>
            </w:pPr>
          </w:p>
        </w:tc>
      </w:tr>
    </w:tbl>
    <w:p w:rsidR="009C4B48" w:rsidRDefault="009C4B48">
      <w:pPr>
        <w:rPr>
          <w:rFonts w:ascii="Arial" w:hAnsi="Arial"/>
        </w:rPr>
      </w:pPr>
    </w:p>
    <w:p w:rsidR="008343F8" w:rsidRDefault="000054FE" w:rsidP="00C93476">
      <w:pPr>
        <w:rPr>
          <w:rFonts w:ascii="Arial" w:hAnsi="Arial" w:cs="Arial"/>
        </w:rPr>
      </w:pPr>
      <w:r>
        <w:rPr>
          <w:rFonts w:ascii="Arial" w:hAnsi="Arial" w:cs="Arial"/>
        </w:rPr>
        <w:t xml:space="preserve">The budgets where </w:t>
      </w:r>
      <w:r w:rsidR="00D21510">
        <w:rPr>
          <w:rFonts w:ascii="Arial" w:hAnsi="Arial" w:cs="Arial"/>
        </w:rPr>
        <w:t>pooling</w:t>
      </w:r>
      <w:r>
        <w:rPr>
          <w:rFonts w:ascii="Arial" w:hAnsi="Arial" w:cs="Arial"/>
        </w:rPr>
        <w:t xml:space="preserve"> applies will be recouped from individual schools in 12 monthly instalments through the schools advances system.  The CFR codes that the recoupment charge will be coded against are shown in the table above.</w:t>
      </w:r>
    </w:p>
    <w:p w:rsidR="00D23211" w:rsidRDefault="00D23211" w:rsidP="00C93476">
      <w:pPr>
        <w:rPr>
          <w:rFonts w:ascii="Arial" w:hAnsi="Arial" w:cs="Arial"/>
        </w:rPr>
      </w:pPr>
    </w:p>
    <w:p w:rsidR="00D23211" w:rsidRDefault="00D23211" w:rsidP="00C93476">
      <w:pPr>
        <w:rPr>
          <w:rFonts w:ascii="Arial" w:hAnsi="Arial" w:cs="Arial"/>
        </w:rPr>
      </w:pPr>
    </w:p>
    <w:p w:rsidR="00AA1C55" w:rsidRDefault="00AA1C55" w:rsidP="00C93476">
      <w:pPr>
        <w:rPr>
          <w:rFonts w:ascii="Arial" w:hAnsi="Arial" w:cs="Arial"/>
        </w:rPr>
      </w:pPr>
    </w:p>
    <w:p w:rsidR="009912C8" w:rsidRDefault="009912C8">
      <w:pPr>
        <w:rPr>
          <w:rFonts w:ascii="Arial" w:hAnsi="Arial" w:cs="Arial"/>
          <w:highlight w:val="yellow"/>
        </w:rPr>
      </w:pPr>
      <w:r>
        <w:rPr>
          <w:rFonts w:ascii="Arial" w:hAnsi="Arial" w:cs="Arial"/>
          <w:highlight w:val="yellow"/>
        </w:rPr>
        <w:br w:type="page"/>
      </w:r>
    </w:p>
    <w:p w:rsidR="00D23211" w:rsidRPr="009912C8" w:rsidRDefault="009912C8" w:rsidP="009912C8">
      <w:pPr>
        <w:jc w:val="center"/>
        <w:rPr>
          <w:rFonts w:ascii="Arial" w:hAnsi="Arial" w:cs="Arial"/>
          <w:b/>
        </w:rPr>
      </w:pPr>
      <w:bookmarkStart w:id="25" w:name="SectionF"/>
      <w:r w:rsidRPr="009912C8">
        <w:rPr>
          <w:rFonts w:ascii="Arial" w:hAnsi="Arial" w:cs="Arial"/>
          <w:b/>
        </w:rPr>
        <w:lastRenderedPageBreak/>
        <w:t xml:space="preserve">SECTION F – </w:t>
      </w:r>
      <w:r w:rsidR="007044B9" w:rsidRPr="009912C8">
        <w:rPr>
          <w:rFonts w:ascii="Arial" w:hAnsi="Arial" w:cs="Arial"/>
          <w:b/>
        </w:rPr>
        <w:t>O</w:t>
      </w:r>
      <w:r w:rsidRPr="009912C8">
        <w:rPr>
          <w:rFonts w:ascii="Arial" w:hAnsi="Arial" w:cs="Arial"/>
          <w:b/>
        </w:rPr>
        <w:t>VERVIEW OF MAINSTREAM HIGH NEEDS FUNDING IN KENT</w:t>
      </w:r>
    </w:p>
    <w:bookmarkEnd w:id="25"/>
    <w:p w:rsidR="00D23211" w:rsidRDefault="00D23211" w:rsidP="00C93476">
      <w:pPr>
        <w:rPr>
          <w:rFonts w:ascii="Arial" w:hAnsi="Arial" w:cs="Arial"/>
        </w:rPr>
      </w:pPr>
    </w:p>
    <w:p w:rsidR="00D23211" w:rsidRDefault="00D23211" w:rsidP="00D23211">
      <w:pPr>
        <w:spacing w:before="120"/>
        <w:rPr>
          <w:rFonts w:ascii="Arial" w:hAnsi="Arial"/>
        </w:rPr>
      </w:pPr>
      <w:r>
        <w:rPr>
          <w:rFonts w:ascii="Arial" w:hAnsi="Arial"/>
        </w:rPr>
        <w:t>The definition of a High Needs Pupil (HNP) in a mainstream school is a monetary value</w:t>
      </w:r>
      <w:r w:rsidR="00CA2E90">
        <w:rPr>
          <w:rFonts w:ascii="Arial" w:hAnsi="Arial"/>
        </w:rPr>
        <w:t xml:space="preserve">, where the costs of supporting the additional SEN exceed </w:t>
      </w:r>
      <w:r>
        <w:rPr>
          <w:rFonts w:ascii="Arial" w:hAnsi="Arial"/>
        </w:rPr>
        <w:t xml:space="preserve">£6,000 </w:t>
      </w:r>
      <w:r w:rsidR="00CA2E90">
        <w:rPr>
          <w:rFonts w:ascii="Arial" w:hAnsi="Arial"/>
        </w:rPr>
        <w:t>per pupil</w:t>
      </w:r>
      <w:r>
        <w:rPr>
          <w:rFonts w:ascii="Arial" w:hAnsi="Arial"/>
        </w:rPr>
        <w:t>.  For the avoidance of any doubt, the pupil does not need to have an Education Health Care Plan (EHCP) to be defined as HNP and access th</w:t>
      </w:r>
      <w:r w:rsidR="00CA2E90">
        <w:rPr>
          <w:rFonts w:ascii="Arial" w:hAnsi="Arial"/>
        </w:rPr>
        <w:t>is</w:t>
      </w:r>
      <w:r>
        <w:rPr>
          <w:rFonts w:ascii="Arial" w:hAnsi="Arial"/>
        </w:rPr>
        <w:t xml:space="preserve"> funding. Also for the avoidance of any doubt, funding for pupils in a Specialist Resource Provision (SRP) is excluded from this process.</w:t>
      </w:r>
    </w:p>
    <w:p w:rsidR="00D23211" w:rsidRDefault="00D23211" w:rsidP="00D23211">
      <w:pPr>
        <w:spacing w:before="120"/>
        <w:rPr>
          <w:rFonts w:ascii="Arial" w:hAnsi="Arial"/>
        </w:rPr>
      </w:pPr>
      <w:r>
        <w:rPr>
          <w:rFonts w:ascii="Arial" w:hAnsi="Arial"/>
        </w:rPr>
        <w:t xml:space="preserve">Place Plus is the Education Funding Agency (EFA) overarching </w:t>
      </w:r>
      <w:r w:rsidR="003F513E">
        <w:rPr>
          <w:rFonts w:ascii="Arial" w:hAnsi="Arial"/>
        </w:rPr>
        <w:t>H</w:t>
      </w:r>
      <w:r>
        <w:rPr>
          <w:rFonts w:ascii="Arial" w:hAnsi="Arial"/>
        </w:rPr>
        <w:t xml:space="preserve">igh </w:t>
      </w:r>
      <w:r w:rsidR="003F513E">
        <w:rPr>
          <w:rFonts w:ascii="Arial" w:hAnsi="Arial"/>
        </w:rPr>
        <w:t>N</w:t>
      </w:r>
      <w:r>
        <w:rPr>
          <w:rFonts w:ascii="Arial" w:hAnsi="Arial"/>
        </w:rPr>
        <w:t xml:space="preserve">eeds funding methodology. Place Plus is applied to all High Needs pupils regardless of where the </w:t>
      </w:r>
      <w:r w:rsidR="003F513E">
        <w:rPr>
          <w:rFonts w:ascii="Arial" w:hAnsi="Arial"/>
        </w:rPr>
        <w:t>pupil</w:t>
      </w:r>
      <w:r>
        <w:rPr>
          <w:rFonts w:ascii="Arial" w:hAnsi="Arial"/>
        </w:rPr>
        <w:t xml:space="preserve"> is placed, however there are variations of how </w:t>
      </w:r>
      <w:r w:rsidR="003F513E">
        <w:rPr>
          <w:rFonts w:ascii="Arial" w:hAnsi="Arial"/>
        </w:rPr>
        <w:t>P</w:t>
      </w:r>
      <w:r>
        <w:rPr>
          <w:rFonts w:ascii="Arial" w:hAnsi="Arial"/>
        </w:rPr>
        <w:t xml:space="preserve">lace </w:t>
      </w:r>
      <w:r w:rsidR="003F513E">
        <w:rPr>
          <w:rFonts w:ascii="Arial" w:hAnsi="Arial"/>
        </w:rPr>
        <w:t>P</w:t>
      </w:r>
      <w:r>
        <w:rPr>
          <w:rFonts w:ascii="Arial" w:hAnsi="Arial"/>
        </w:rPr>
        <w:t>lus is applied depending on the type of institution. To understand how Place Plus is applied it is important to note that in the first instance the cost of providing SEN resources for the pupil is identified.  Place Plus is a methodology for how the funding is passed to the institution to meet that cost.</w:t>
      </w:r>
    </w:p>
    <w:p w:rsidR="00D23211" w:rsidRDefault="00D23211" w:rsidP="00D23211">
      <w:pPr>
        <w:spacing w:before="120"/>
        <w:rPr>
          <w:rFonts w:ascii="Arial" w:hAnsi="Arial"/>
        </w:rPr>
      </w:pPr>
      <w:r w:rsidRPr="00503D03">
        <w:rPr>
          <w:rFonts w:ascii="Arial" w:hAnsi="Arial"/>
        </w:rPr>
        <w:t>Knowing</w:t>
      </w:r>
      <w:r>
        <w:rPr>
          <w:rFonts w:ascii="Arial" w:hAnsi="Arial"/>
        </w:rPr>
        <w:t xml:space="preserve"> what notional SEN funding consists of is key to understanding the mechanics of mainstream </w:t>
      </w:r>
      <w:r w:rsidR="003F513E">
        <w:rPr>
          <w:rFonts w:ascii="Arial" w:hAnsi="Arial"/>
        </w:rPr>
        <w:t>H</w:t>
      </w:r>
      <w:r>
        <w:rPr>
          <w:rFonts w:ascii="Arial" w:hAnsi="Arial"/>
        </w:rPr>
        <w:t xml:space="preserve">igh </w:t>
      </w:r>
      <w:r w:rsidR="003F513E">
        <w:rPr>
          <w:rFonts w:ascii="Arial" w:hAnsi="Arial"/>
        </w:rPr>
        <w:t>N</w:t>
      </w:r>
      <w:r>
        <w:rPr>
          <w:rFonts w:ascii="Arial" w:hAnsi="Arial"/>
        </w:rPr>
        <w:t xml:space="preserve">eeds funding. </w:t>
      </w:r>
      <w:r w:rsidR="003F513E">
        <w:rPr>
          <w:rFonts w:ascii="Arial" w:hAnsi="Arial"/>
        </w:rPr>
        <w:t xml:space="preserve"> </w:t>
      </w:r>
      <w:r>
        <w:rPr>
          <w:rFonts w:ascii="Arial" w:hAnsi="Arial"/>
        </w:rPr>
        <w:t xml:space="preserve">A schools formula budget is broken down into a number of factors, with each factor being used to target funding </w:t>
      </w:r>
      <w:r w:rsidR="003F513E">
        <w:rPr>
          <w:rFonts w:ascii="Arial" w:hAnsi="Arial"/>
        </w:rPr>
        <w:t>to</w:t>
      </w:r>
      <w:r>
        <w:rPr>
          <w:rFonts w:ascii="Arial" w:hAnsi="Arial"/>
        </w:rPr>
        <w:t xml:space="preserve"> the different needs of the pupils within the school. </w:t>
      </w:r>
      <w:r w:rsidR="003F513E">
        <w:rPr>
          <w:rFonts w:ascii="Arial" w:hAnsi="Arial"/>
        </w:rPr>
        <w:t xml:space="preserve"> The</w:t>
      </w:r>
      <w:r>
        <w:rPr>
          <w:rFonts w:ascii="Arial" w:hAnsi="Arial"/>
        </w:rPr>
        <w:t xml:space="preserve"> notional SEN proportion of the budget consists of the following factors, </w:t>
      </w:r>
      <w:r w:rsidR="003F513E">
        <w:rPr>
          <w:rFonts w:ascii="Arial" w:hAnsi="Arial"/>
        </w:rPr>
        <w:t>f</w:t>
      </w:r>
      <w:r>
        <w:rPr>
          <w:rFonts w:ascii="Arial" w:hAnsi="Arial"/>
        </w:rPr>
        <w:t xml:space="preserve">actor 2 - IDACI, </w:t>
      </w:r>
      <w:r w:rsidR="003F513E">
        <w:rPr>
          <w:rFonts w:ascii="Arial" w:hAnsi="Arial"/>
        </w:rPr>
        <w:t>f</w:t>
      </w:r>
      <w:r>
        <w:rPr>
          <w:rFonts w:ascii="Arial" w:hAnsi="Arial"/>
        </w:rPr>
        <w:t xml:space="preserve">actor 3 – Look after Children (LAC), </w:t>
      </w:r>
      <w:r w:rsidR="003F513E">
        <w:rPr>
          <w:rFonts w:ascii="Arial" w:hAnsi="Arial"/>
        </w:rPr>
        <w:t>f</w:t>
      </w:r>
      <w:r>
        <w:rPr>
          <w:rFonts w:ascii="Arial" w:hAnsi="Arial"/>
        </w:rPr>
        <w:t xml:space="preserve">actor 4- English as an Additional Language (EAL), </w:t>
      </w:r>
      <w:r w:rsidR="003F513E">
        <w:rPr>
          <w:rFonts w:ascii="Arial" w:hAnsi="Arial"/>
        </w:rPr>
        <w:t>f</w:t>
      </w:r>
      <w:r>
        <w:rPr>
          <w:rFonts w:ascii="Arial" w:hAnsi="Arial"/>
        </w:rPr>
        <w:t xml:space="preserve">actor 6 -  Low Cost High Incidence SEN(LCHIS) and an element of the lump sum factor 7 (Primary £6,235, Secondary £5,580).  This funding </w:t>
      </w:r>
      <w:r w:rsidR="003F513E">
        <w:rPr>
          <w:rFonts w:ascii="Arial" w:hAnsi="Arial"/>
        </w:rPr>
        <w:t xml:space="preserve">is </w:t>
      </w:r>
      <w:r>
        <w:rPr>
          <w:rFonts w:ascii="Arial" w:hAnsi="Arial"/>
        </w:rPr>
        <w:t>targeted through the Kent’s local formula for the additional needs of pupils in the school, over and above the basic needs of all pupils.</w:t>
      </w:r>
    </w:p>
    <w:p w:rsidR="00D23211" w:rsidRDefault="00D23211" w:rsidP="00D23211">
      <w:pPr>
        <w:spacing w:before="120"/>
        <w:rPr>
          <w:rFonts w:ascii="Arial" w:hAnsi="Arial"/>
        </w:rPr>
      </w:pPr>
      <w:r>
        <w:rPr>
          <w:rFonts w:ascii="Arial" w:hAnsi="Arial"/>
        </w:rPr>
        <w:t>How this is this applied in practice is best explained using an example</w:t>
      </w:r>
      <w:r w:rsidR="003F513E">
        <w:rPr>
          <w:rFonts w:ascii="Arial" w:hAnsi="Arial"/>
        </w:rPr>
        <w:t xml:space="preserve">.  </w:t>
      </w:r>
      <w:r>
        <w:rPr>
          <w:rFonts w:ascii="Arial" w:hAnsi="Arial"/>
        </w:rPr>
        <w:t>A primary school has an annual notional SEN budget of £10,000 and has one high need pupil whose additional need cost</w:t>
      </w:r>
      <w:r w:rsidR="003F513E">
        <w:rPr>
          <w:rFonts w:ascii="Arial" w:hAnsi="Arial"/>
        </w:rPr>
        <w:t>s</w:t>
      </w:r>
      <w:r>
        <w:rPr>
          <w:rFonts w:ascii="Arial" w:hAnsi="Arial"/>
        </w:rPr>
        <w:t xml:space="preserve"> £9,000 per annum. </w:t>
      </w:r>
    </w:p>
    <w:p w:rsidR="00D23211" w:rsidRDefault="00D23211" w:rsidP="00D23211">
      <w:pPr>
        <w:spacing w:before="120"/>
        <w:rPr>
          <w:rFonts w:ascii="Arial" w:hAnsi="Arial"/>
        </w:rPr>
      </w:pPr>
      <w:r>
        <w:rPr>
          <w:rFonts w:ascii="Arial" w:hAnsi="Arial"/>
        </w:rPr>
        <w:t xml:space="preserve">Place Plus is broken down into three elements </w:t>
      </w:r>
    </w:p>
    <w:p w:rsidR="00D23211" w:rsidRDefault="00D23211" w:rsidP="00D23211">
      <w:pPr>
        <w:pStyle w:val="ListParagraph"/>
        <w:numPr>
          <w:ilvl w:val="0"/>
          <w:numId w:val="29"/>
        </w:numPr>
        <w:spacing w:before="120"/>
        <w:rPr>
          <w:rFonts w:ascii="Arial" w:hAnsi="Arial"/>
        </w:rPr>
      </w:pPr>
      <w:r w:rsidRPr="00503D03">
        <w:rPr>
          <w:rFonts w:ascii="Arial" w:hAnsi="Arial"/>
        </w:rPr>
        <w:t>Element 1 (E1) – Core Education Funding</w:t>
      </w:r>
    </w:p>
    <w:p w:rsidR="00D23211" w:rsidRDefault="00D23211" w:rsidP="00D23211">
      <w:pPr>
        <w:pStyle w:val="ListParagraph"/>
        <w:numPr>
          <w:ilvl w:val="0"/>
          <w:numId w:val="29"/>
        </w:numPr>
        <w:spacing w:before="120"/>
        <w:rPr>
          <w:rFonts w:ascii="Arial" w:hAnsi="Arial"/>
        </w:rPr>
      </w:pPr>
      <w:r w:rsidRPr="00503D03">
        <w:rPr>
          <w:rFonts w:ascii="Arial" w:hAnsi="Arial"/>
        </w:rPr>
        <w:t>Element 2 (E2)</w:t>
      </w:r>
      <w:r>
        <w:rPr>
          <w:rFonts w:ascii="Arial" w:hAnsi="Arial"/>
        </w:rPr>
        <w:t xml:space="preserve"> </w:t>
      </w:r>
      <w:r w:rsidRPr="00503D03">
        <w:rPr>
          <w:rFonts w:ascii="Arial" w:hAnsi="Arial"/>
        </w:rPr>
        <w:t xml:space="preserve">– Additional Support </w:t>
      </w:r>
    </w:p>
    <w:p w:rsidR="00D23211" w:rsidRPr="00503D03" w:rsidRDefault="00D23211" w:rsidP="00D23211">
      <w:pPr>
        <w:pStyle w:val="ListParagraph"/>
        <w:numPr>
          <w:ilvl w:val="0"/>
          <w:numId w:val="29"/>
        </w:numPr>
        <w:spacing w:before="120"/>
        <w:rPr>
          <w:rFonts w:ascii="Arial" w:hAnsi="Arial"/>
        </w:rPr>
      </w:pPr>
      <w:r w:rsidRPr="00503D03">
        <w:rPr>
          <w:rFonts w:ascii="Arial" w:hAnsi="Arial"/>
        </w:rPr>
        <w:t>Element 3 (E3)</w:t>
      </w:r>
      <w:r>
        <w:rPr>
          <w:rFonts w:ascii="Arial" w:hAnsi="Arial"/>
        </w:rPr>
        <w:t xml:space="preserve"> </w:t>
      </w:r>
      <w:r w:rsidRPr="00503D03">
        <w:rPr>
          <w:rFonts w:ascii="Arial" w:hAnsi="Arial"/>
        </w:rPr>
        <w:t>– Top Up Funding.</w:t>
      </w:r>
    </w:p>
    <w:p w:rsidR="00D23211" w:rsidRDefault="00D23211" w:rsidP="00D23211">
      <w:pPr>
        <w:spacing w:before="120"/>
        <w:rPr>
          <w:rFonts w:ascii="Arial" w:hAnsi="Arial"/>
        </w:rPr>
      </w:pPr>
      <w:r>
        <w:rPr>
          <w:rFonts w:ascii="Arial" w:hAnsi="Arial"/>
        </w:rPr>
        <w:t>E1 = Primary school basic entitlement £2,740 (</w:t>
      </w:r>
      <w:r w:rsidR="003F513E">
        <w:rPr>
          <w:rFonts w:ascii="Arial" w:hAnsi="Arial"/>
        </w:rPr>
        <w:t>f</w:t>
      </w:r>
      <w:r>
        <w:rPr>
          <w:rFonts w:ascii="Arial" w:hAnsi="Arial"/>
        </w:rPr>
        <w:t>actor 1 – Age Weighted Pupil Unit of funding)</w:t>
      </w:r>
    </w:p>
    <w:p w:rsidR="00D23211" w:rsidRDefault="00D23211" w:rsidP="00D23211">
      <w:pPr>
        <w:spacing w:before="120"/>
        <w:rPr>
          <w:rFonts w:ascii="Arial" w:hAnsi="Arial"/>
        </w:rPr>
      </w:pPr>
      <w:r>
        <w:rPr>
          <w:rFonts w:ascii="Arial" w:hAnsi="Arial"/>
        </w:rPr>
        <w:t>E2 = £6,000 (this is always set at this amount)</w:t>
      </w:r>
    </w:p>
    <w:p w:rsidR="00D23211" w:rsidRDefault="00D23211" w:rsidP="00D23211">
      <w:pPr>
        <w:spacing w:before="120"/>
        <w:rPr>
          <w:rFonts w:ascii="Arial" w:hAnsi="Arial"/>
        </w:rPr>
      </w:pPr>
      <w:r>
        <w:rPr>
          <w:rFonts w:ascii="Arial" w:hAnsi="Arial"/>
        </w:rPr>
        <w:t xml:space="preserve">E3 = £3,000 (cost of additional need £9,000 less </w:t>
      </w:r>
      <w:r w:rsidR="003F513E">
        <w:rPr>
          <w:rFonts w:ascii="Arial" w:hAnsi="Arial"/>
        </w:rPr>
        <w:t xml:space="preserve">the </w:t>
      </w:r>
      <w:r>
        <w:rPr>
          <w:rFonts w:ascii="Arial" w:hAnsi="Arial"/>
        </w:rPr>
        <w:t xml:space="preserve">E2 </w:t>
      </w:r>
      <w:r w:rsidR="003F513E">
        <w:rPr>
          <w:rFonts w:ascii="Arial" w:hAnsi="Arial"/>
        </w:rPr>
        <w:t xml:space="preserve">funding of </w:t>
      </w:r>
      <w:r>
        <w:rPr>
          <w:rFonts w:ascii="Arial" w:hAnsi="Arial"/>
        </w:rPr>
        <w:t>£6,000)</w:t>
      </w:r>
    </w:p>
    <w:p w:rsidR="00D23211" w:rsidRDefault="00D23211" w:rsidP="00D23211">
      <w:pPr>
        <w:spacing w:before="120"/>
        <w:rPr>
          <w:rFonts w:ascii="Arial" w:hAnsi="Arial"/>
        </w:rPr>
      </w:pPr>
    </w:p>
    <w:p w:rsidR="00D23211" w:rsidRPr="00DE620B" w:rsidRDefault="00D23211" w:rsidP="00D23211">
      <w:pPr>
        <w:spacing w:before="120"/>
        <w:rPr>
          <w:rFonts w:ascii="Arial" w:hAnsi="Arial"/>
          <w:b/>
        </w:rPr>
      </w:pPr>
      <w:r w:rsidRPr="00DE620B">
        <w:rPr>
          <w:rFonts w:ascii="Arial" w:hAnsi="Arial"/>
          <w:b/>
        </w:rPr>
        <w:t>How the funding is passed to the school</w:t>
      </w:r>
    </w:p>
    <w:p w:rsidR="00D23211" w:rsidRDefault="00D23211" w:rsidP="00D23211">
      <w:pPr>
        <w:spacing w:before="120"/>
        <w:rPr>
          <w:rFonts w:ascii="Arial" w:hAnsi="Arial"/>
        </w:rPr>
      </w:pPr>
      <w:r>
        <w:rPr>
          <w:rFonts w:ascii="Arial" w:hAnsi="Arial"/>
        </w:rPr>
        <w:t>E1 – included in schools annual formula budget</w:t>
      </w:r>
      <w:r w:rsidR="003F513E">
        <w:rPr>
          <w:rFonts w:ascii="Arial" w:hAnsi="Arial"/>
        </w:rPr>
        <w:t xml:space="preserve"> (and forms part of the basic entitlement, not the notional SEN budget)</w:t>
      </w:r>
      <w:r>
        <w:rPr>
          <w:rFonts w:ascii="Arial" w:hAnsi="Arial"/>
        </w:rPr>
        <w:t>.</w:t>
      </w:r>
    </w:p>
    <w:p w:rsidR="00D23211" w:rsidRDefault="00D23211" w:rsidP="00D23211">
      <w:pPr>
        <w:spacing w:before="120"/>
        <w:rPr>
          <w:rFonts w:ascii="Arial" w:hAnsi="Arial"/>
        </w:rPr>
      </w:pPr>
      <w:r>
        <w:rPr>
          <w:rFonts w:ascii="Arial" w:hAnsi="Arial"/>
        </w:rPr>
        <w:t>E2 – School meets £6,000 cost from its notional SEN budget</w:t>
      </w:r>
      <w:r w:rsidR="003F513E">
        <w:rPr>
          <w:rFonts w:ascii="Arial" w:hAnsi="Arial"/>
        </w:rPr>
        <w:t>.  I</w:t>
      </w:r>
      <w:r>
        <w:rPr>
          <w:rFonts w:ascii="Arial" w:hAnsi="Arial"/>
        </w:rPr>
        <w:t>n this example</w:t>
      </w:r>
      <w:r w:rsidR="003F513E">
        <w:rPr>
          <w:rFonts w:ascii="Arial" w:hAnsi="Arial"/>
        </w:rPr>
        <w:t>,</w:t>
      </w:r>
      <w:r>
        <w:rPr>
          <w:rFonts w:ascii="Arial" w:hAnsi="Arial"/>
        </w:rPr>
        <w:t xml:space="preserve"> the notional budget is £10,000, so £6,000 is used for this pupil and the balance of £4,000 is available for the remaining pupils in the school with lower level needs</w:t>
      </w:r>
      <w:r w:rsidR="003F513E">
        <w:rPr>
          <w:rFonts w:ascii="Arial" w:hAnsi="Arial"/>
        </w:rPr>
        <w:t>.</w:t>
      </w:r>
    </w:p>
    <w:p w:rsidR="00D23211" w:rsidRDefault="00D23211" w:rsidP="00D23211">
      <w:pPr>
        <w:spacing w:before="120"/>
        <w:rPr>
          <w:rFonts w:ascii="Arial" w:hAnsi="Arial"/>
        </w:rPr>
      </w:pPr>
      <w:r>
        <w:rPr>
          <w:rFonts w:ascii="Arial" w:hAnsi="Arial"/>
        </w:rPr>
        <w:t>E3- LA funds the £3,000</w:t>
      </w:r>
      <w:r w:rsidR="003F513E">
        <w:rPr>
          <w:rFonts w:ascii="Arial" w:hAnsi="Arial"/>
        </w:rPr>
        <w:t xml:space="preserve"> as a top up</w:t>
      </w:r>
    </w:p>
    <w:p w:rsidR="00D23211" w:rsidRDefault="00D23211" w:rsidP="00D23211">
      <w:pPr>
        <w:spacing w:before="120"/>
        <w:rPr>
          <w:rFonts w:ascii="Arial" w:hAnsi="Arial"/>
        </w:rPr>
      </w:pPr>
    </w:p>
    <w:p w:rsidR="00D23211" w:rsidRPr="00181F82" w:rsidRDefault="00D23211" w:rsidP="00D23211">
      <w:pPr>
        <w:spacing w:before="120"/>
        <w:rPr>
          <w:rFonts w:ascii="Arial" w:hAnsi="Arial"/>
          <w:b/>
        </w:rPr>
      </w:pPr>
      <w:r w:rsidRPr="00181F82">
        <w:rPr>
          <w:rFonts w:ascii="Arial" w:hAnsi="Arial"/>
          <w:b/>
        </w:rPr>
        <w:t>Notional SEN Top Up</w:t>
      </w:r>
      <w:r w:rsidR="003F513E">
        <w:rPr>
          <w:rFonts w:ascii="Arial" w:hAnsi="Arial"/>
          <w:b/>
        </w:rPr>
        <w:t xml:space="preserve"> (which </w:t>
      </w:r>
      <w:r w:rsidRPr="00181F82">
        <w:rPr>
          <w:rFonts w:ascii="Arial" w:hAnsi="Arial"/>
          <w:b/>
        </w:rPr>
        <w:t>is in addition to Element 3</w:t>
      </w:r>
      <w:r w:rsidR="003F513E">
        <w:rPr>
          <w:rFonts w:ascii="Arial" w:hAnsi="Arial"/>
          <w:b/>
        </w:rPr>
        <w:t>)</w:t>
      </w:r>
      <w:r w:rsidRPr="00181F82">
        <w:rPr>
          <w:rFonts w:ascii="Arial" w:hAnsi="Arial"/>
          <w:b/>
        </w:rPr>
        <w:t xml:space="preserve"> </w:t>
      </w:r>
    </w:p>
    <w:p w:rsidR="00D23211" w:rsidRDefault="00D23211" w:rsidP="00D23211">
      <w:pPr>
        <w:spacing w:before="120"/>
        <w:rPr>
          <w:rFonts w:ascii="Arial" w:hAnsi="Arial"/>
        </w:rPr>
      </w:pPr>
      <w:r>
        <w:rPr>
          <w:rFonts w:ascii="Arial" w:hAnsi="Arial"/>
        </w:rPr>
        <w:t xml:space="preserve">However, there are some schools </w:t>
      </w:r>
      <w:r w:rsidR="003F513E">
        <w:rPr>
          <w:rFonts w:ascii="Arial" w:hAnsi="Arial"/>
        </w:rPr>
        <w:t>that</w:t>
      </w:r>
      <w:r>
        <w:rPr>
          <w:rFonts w:ascii="Arial" w:hAnsi="Arial"/>
        </w:rPr>
        <w:t xml:space="preserve"> have a disproportionate number of </w:t>
      </w:r>
      <w:r w:rsidR="003F513E">
        <w:rPr>
          <w:rFonts w:ascii="Arial" w:hAnsi="Arial"/>
        </w:rPr>
        <w:t>H</w:t>
      </w:r>
      <w:r>
        <w:rPr>
          <w:rFonts w:ascii="Arial" w:hAnsi="Arial"/>
        </w:rPr>
        <w:t xml:space="preserve">igh </w:t>
      </w:r>
      <w:r w:rsidR="003F513E">
        <w:rPr>
          <w:rFonts w:ascii="Arial" w:hAnsi="Arial"/>
        </w:rPr>
        <w:t>N</w:t>
      </w:r>
      <w:r>
        <w:rPr>
          <w:rFonts w:ascii="Arial" w:hAnsi="Arial"/>
        </w:rPr>
        <w:t>eeds pupils relative to their notional SEN funding.  In these cases, the LA has agreed to provide “notional SEN top up funding”, which contribute</w:t>
      </w:r>
      <w:r w:rsidR="003F513E">
        <w:rPr>
          <w:rFonts w:ascii="Arial" w:hAnsi="Arial"/>
        </w:rPr>
        <w:t>s</w:t>
      </w:r>
      <w:r>
        <w:rPr>
          <w:rFonts w:ascii="Arial" w:hAnsi="Arial"/>
        </w:rPr>
        <w:t xml:space="preserve"> towards (or in some cases fully fund</w:t>
      </w:r>
      <w:r w:rsidR="003F513E">
        <w:rPr>
          <w:rFonts w:ascii="Arial" w:hAnsi="Arial"/>
        </w:rPr>
        <w:t>s</w:t>
      </w:r>
      <w:r>
        <w:rPr>
          <w:rFonts w:ascii="Arial" w:hAnsi="Arial"/>
        </w:rPr>
        <w:t xml:space="preserve">) the E2 £6,000. This should not be confused with E3 funding, which is something different.  </w:t>
      </w:r>
      <w:r w:rsidR="003F513E">
        <w:rPr>
          <w:rFonts w:ascii="Arial" w:hAnsi="Arial"/>
        </w:rPr>
        <w:t>It is possible for s</w:t>
      </w:r>
      <w:r>
        <w:rPr>
          <w:rFonts w:ascii="Arial" w:hAnsi="Arial"/>
        </w:rPr>
        <w:t>chools</w:t>
      </w:r>
      <w:r w:rsidR="003F513E">
        <w:rPr>
          <w:rFonts w:ascii="Arial" w:hAnsi="Arial"/>
        </w:rPr>
        <w:t xml:space="preserve"> to </w:t>
      </w:r>
      <w:r>
        <w:rPr>
          <w:rFonts w:ascii="Arial" w:hAnsi="Arial"/>
        </w:rPr>
        <w:t xml:space="preserve">attract both notional SEN top up and E3 top up funding.   </w:t>
      </w:r>
    </w:p>
    <w:p w:rsidR="003F513E" w:rsidRDefault="00AA1C55" w:rsidP="00D23211">
      <w:pPr>
        <w:spacing w:before="120"/>
        <w:rPr>
          <w:rFonts w:ascii="Arial" w:hAnsi="Arial"/>
        </w:rPr>
      </w:pPr>
      <w:r>
        <w:rPr>
          <w:rFonts w:ascii="Arial" w:hAnsi="Arial"/>
        </w:rPr>
        <w:lastRenderedPageBreak/>
        <w:t>No school will pay more than 10</w:t>
      </w:r>
      <w:r w:rsidR="00D23211">
        <w:rPr>
          <w:rFonts w:ascii="Arial" w:hAnsi="Arial"/>
        </w:rPr>
        <w:t>% of its notional SEN budget towards the £6,000 E2 contr</w:t>
      </w:r>
      <w:r>
        <w:rPr>
          <w:rFonts w:ascii="Arial" w:hAnsi="Arial"/>
        </w:rPr>
        <w:t>ibution for an individual pupil</w:t>
      </w:r>
      <w:r w:rsidR="003F513E">
        <w:rPr>
          <w:rFonts w:ascii="Arial" w:hAnsi="Arial"/>
        </w:rPr>
        <w:t>.  U</w:t>
      </w:r>
      <w:r>
        <w:rPr>
          <w:rFonts w:ascii="Arial" w:hAnsi="Arial"/>
        </w:rPr>
        <w:t>sing the example above the school would receive Notional SEN top up of £5,0</w:t>
      </w:r>
      <w:r w:rsidR="000E374B">
        <w:rPr>
          <w:rFonts w:ascii="Arial" w:hAnsi="Arial"/>
        </w:rPr>
        <w:t>00</w:t>
      </w:r>
      <w:r w:rsidR="003F513E">
        <w:rPr>
          <w:rFonts w:ascii="Arial" w:hAnsi="Arial"/>
        </w:rPr>
        <w:t>.  This has been calculated as follows:</w:t>
      </w:r>
      <w:r w:rsidR="000E374B">
        <w:rPr>
          <w:rFonts w:ascii="Arial" w:hAnsi="Arial"/>
        </w:rPr>
        <w:t xml:space="preserve"> </w:t>
      </w:r>
    </w:p>
    <w:p w:rsidR="003F513E" w:rsidRDefault="003F513E" w:rsidP="003F513E">
      <w:pPr>
        <w:pStyle w:val="ListParagraph"/>
        <w:numPr>
          <w:ilvl w:val="0"/>
          <w:numId w:val="39"/>
        </w:numPr>
        <w:spacing w:before="120"/>
        <w:rPr>
          <w:rFonts w:ascii="Arial" w:hAnsi="Arial"/>
        </w:rPr>
      </w:pPr>
      <w:r w:rsidRPr="003F513E">
        <w:rPr>
          <w:rFonts w:ascii="Arial" w:hAnsi="Arial"/>
        </w:rPr>
        <w:t>E2 contribution required</w:t>
      </w:r>
      <w:r>
        <w:rPr>
          <w:rFonts w:ascii="Arial" w:hAnsi="Arial"/>
        </w:rPr>
        <w:t xml:space="preserve"> of </w:t>
      </w:r>
      <w:r w:rsidR="000E374B" w:rsidRPr="003F513E">
        <w:rPr>
          <w:rFonts w:ascii="Arial" w:hAnsi="Arial"/>
        </w:rPr>
        <w:t>£6,000</w:t>
      </w:r>
    </w:p>
    <w:p w:rsidR="003F513E" w:rsidRDefault="003F513E" w:rsidP="003F513E">
      <w:pPr>
        <w:pStyle w:val="ListParagraph"/>
        <w:numPr>
          <w:ilvl w:val="0"/>
          <w:numId w:val="39"/>
        </w:numPr>
        <w:spacing w:before="120"/>
        <w:rPr>
          <w:rFonts w:ascii="Arial" w:hAnsi="Arial"/>
        </w:rPr>
      </w:pPr>
      <w:r>
        <w:rPr>
          <w:rFonts w:ascii="Arial" w:hAnsi="Arial"/>
        </w:rPr>
        <w:t xml:space="preserve">However school will pay a maximum of 10% of their Notional SEN budget, i.e. </w:t>
      </w:r>
      <w:r w:rsidR="000E374B" w:rsidRPr="003F513E">
        <w:rPr>
          <w:rFonts w:ascii="Arial" w:hAnsi="Arial"/>
        </w:rPr>
        <w:t xml:space="preserve">10% </w:t>
      </w:r>
      <w:r>
        <w:rPr>
          <w:rFonts w:ascii="Arial" w:hAnsi="Arial"/>
        </w:rPr>
        <w:t xml:space="preserve">of </w:t>
      </w:r>
      <w:r w:rsidR="000E374B" w:rsidRPr="003F513E">
        <w:rPr>
          <w:rFonts w:ascii="Arial" w:hAnsi="Arial"/>
        </w:rPr>
        <w:t xml:space="preserve"> £10</w:t>
      </w:r>
      <w:r w:rsidR="00AA1C55" w:rsidRPr="003F513E">
        <w:rPr>
          <w:rFonts w:ascii="Arial" w:hAnsi="Arial"/>
        </w:rPr>
        <w:t>,000</w:t>
      </w:r>
      <w:r>
        <w:rPr>
          <w:rFonts w:ascii="Arial" w:hAnsi="Arial"/>
        </w:rPr>
        <w:t xml:space="preserve">= </w:t>
      </w:r>
      <w:r w:rsidR="00AA1C55" w:rsidRPr="003F513E">
        <w:rPr>
          <w:rFonts w:ascii="Arial" w:hAnsi="Arial"/>
        </w:rPr>
        <w:t>£1,000</w:t>
      </w:r>
    </w:p>
    <w:p w:rsidR="003F513E" w:rsidRDefault="003F513E" w:rsidP="003F513E">
      <w:pPr>
        <w:pStyle w:val="ListParagraph"/>
        <w:numPr>
          <w:ilvl w:val="0"/>
          <w:numId w:val="39"/>
        </w:numPr>
        <w:spacing w:before="120"/>
        <w:rPr>
          <w:rFonts w:ascii="Arial" w:hAnsi="Arial"/>
        </w:rPr>
      </w:pPr>
      <w:r>
        <w:rPr>
          <w:rFonts w:ascii="Arial" w:hAnsi="Arial"/>
        </w:rPr>
        <w:t xml:space="preserve">Therefore in this example the school will receive </w:t>
      </w:r>
      <w:r w:rsidR="00AA1C55" w:rsidRPr="003F513E">
        <w:rPr>
          <w:rFonts w:ascii="Arial" w:hAnsi="Arial"/>
        </w:rPr>
        <w:t>£5,000</w:t>
      </w:r>
      <w:r>
        <w:rPr>
          <w:rFonts w:ascii="Arial" w:hAnsi="Arial"/>
        </w:rPr>
        <w:t xml:space="preserve"> Notional SEN top up to help meet the costs of E2.</w:t>
      </w:r>
    </w:p>
    <w:p w:rsidR="00D23211" w:rsidRDefault="00AA1C55" w:rsidP="003F513E">
      <w:pPr>
        <w:spacing w:before="120"/>
        <w:rPr>
          <w:rFonts w:ascii="Arial" w:hAnsi="Arial"/>
        </w:rPr>
      </w:pPr>
      <w:r w:rsidRPr="003F513E">
        <w:rPr>
          <w:rFonts w:ascii="Arial" w:hAnsi="Arial"/>
        </w:rPr>
        <w:t>In addition, a threshold of 28</w:t>
      </w:r>
      <w:r w:rsidR="00D23211" w:rsidRPr="003F513E">
        <w:rPr>
          <w:rFonts w:ascii="Arial" w:hAnsi="Arial"/>
        </w:rPr>
        <w:t>% has been set where</w:t>
      </w:r>
      <w:r w:rsidRPr="003F513E">
        <w:rPr>
          <w:rFonts w:ascii="Arial" w:hAnsi="Arial"/>
        </w:rPr>
        <w:t xml:space="preserve"> no school will pay more than 28</w:t>
      </w:r>
      <w:r w:rsidR="00D23211" w:rsidRPr="003F513E">
        <w:rPr>
          <w:rFonts w:ascii="Arial" w:hAnsi="Arial"/>
        </w:rPr>
        <w:t>% of its notional SEN budget towards the total E2 £6,000 contribution for all</w:t>
      </w:r>
      <w:r w:rsidRPr="003F513E">
        <w:rPr>
          <w:rFonts w:ascii="Arial" w:hAnsi="Arial"/>
        </w:rPr>
        <w:t xml:space="preserve"> HNPs in the school. Once the 28</w:t>
      </w:r>
      <w:r w:rsidR="00D23211" w:rsidRPr="003F513E">
        <w:rPr>
          <w:rFonts w:ascii="Arial" w:hAnsi="Arial"/>
        </w:rPr>
        <w:t>% has been reached, the full £6,000 will be reimbursed to the school.</w:t>
      </w:r>
      <w:r w:rsidR="003442B4">
        <w:rPr>
          <w:rFonts w:ascii="Arial" w:hAnsi="Arial"/>
        </w:rPr>
        <w:t xml:space="preserve">  So continuing with the example above, if this school received another two High Needs pupils (three in total), this additional threshold would apply.</w:t>
      </w:r>
    </w:p>
    <w:p w:rsidR="003442B4" w:rsidRDefault="003442B4" w:rsidP="003442B4">
      <w:pPr>
        <w:pStyle w:val="ListParagraph"/>
        <w:numPr>
          <w:ilvl w:val="0"/>
          <w:numId w:val="40"/>
        </w:numPr>
        <w:spacing w:before="120"/>
        <w:rPr>
          <w:rFonts w:ascii="Arial" w:hAnsi="Arial"/>
        </w:rPr>
      </w:pPr>
      <w:r>
        <w:rPr>
          <w:rFonts w:ascii="Arial" w:hAnsi="Arial"/>
        </w:rPr>
        <w:t>School would have three children (3 x £1,000 – as per point 2 above) so the expectation is that this school would have to contribute £3,000</w:t>
      </w:r>
    </w:p>
    <w:p w:rsidR="003442B4" w:rsidRDefault="003442B4" w:rsidP="003442B4">
      <w:pPr>
        <w:pStyle w:val="ListParagraph"/>
        <w:numPr>
          <w:ilvl w:val="0"/>
          <w:numId w:val="40"/>
        </w:numPr>
        <w:spacing w:before="120"/>
        <w:rPr>
          <w:rFonts w:ascii="Arial" w:hAnsi="Arial"/>
        </w:rPr>
      </w:pPr>
      <w:r>
        <w:rPr>
          <w:rFonts w:ascii="Arial" w:hAnsi="Arial"/>
        </w:rPr>
        <w:t>However this additional threshold would apply: 28% of £10,000 = £2,800</w:t>
      </w:r>
    </w:p>
    <w:p w:rsidR="003442B4" w:rsidRDefault="003442B4" w:rsidP="003442B4">
      <w:pPr>
        <w:pStyle w:val="ListParagraph"/>
        <w:numPr>
          <w:ilvl w:val="0"/>
          <w:numId w:val="40"/>
        </w:numPr>
        <w:spacing w:before="120"/>
        <w:rPr>
          <w:rFonts w:ascii="Arial" w:hAnsi="Arial"/>
        </w:rPr>
      </w:pPr>
      <w:r>
        <w:rPr>
          <w:rFonts w:ascii="Arial" w:hAnsi="Arial"/>
        </w:rPr>
        <w:t>So this school would receive £5,000 for the first child, £5,000 for the second child and for the third child is would receive £5,000 + £200.</w:t>
      </w:r>
    </w:p>
    <w:p w:rsidR="003442B4" w:rsidRPr="003442B4" w:rsidRDefault="003442B4" w:rsidP="003442B4">
      <w:pPr>
        <w:pStyle w:val="ListParagraph"/>
        <w:numPr>
          <w:ilvl w:val="0"/>
          <w:numId w:val="40"/>
        </w:numPr>
        <w:spacing w:before="120"/>
        <w:rPr>
          <w:rFonts w:ascii="Arial" w:hAnsi="Arial"/>
        </w:rPr>
      </w:pPr>
      <w:r>
        <w:rPr>
          <w:rFonts w:ascii="Arial" w:hAnsi="Arial"/>
        </w:rPr>
        <w:t xml:space="preserve">If this school had a fourth child, it would receive the full £6,000 </w:t>
      </w:r>
    </w:p>
    <w:p w:rsidR="003442B4" w:rsidRPr="003F513E" w:rsidRDefault="003442B4" w:rsidP="003F513E">
      <w:pPr>
        <w:spacing w:before="120"/>
        <w:rPr>
          <w:rFonts w:ascii="Arial" w:hAnsi="Arial"/>
        </w:rPr>
      </w:pPr>
    </w:p>
    <w:p w:rsidR="00D23211" w:rsidRDefault="00D23211" w:rsidP="00D23211">
      <w:pPr>
        <w:spacing w:before="120"/>
        <w:rPr>
          <w:rFonts w:ascii="Arial" w:hAnsi="Arial"/>
          <w:b/>
        </w:rPr>
      </w:pPr>
      <w:r>
        <w:rPr>
          <w:rFonts w:ascii="Arial" w:hAnsi="Arial"/>
          <w:b/>
        </w:rPr>
        <w:t xml:space="preserve">How to apply for high needs funding in a mainstream school </w:t>
      </w:r>
    </w:p>
    <w:p w:rsidR="00D23211" w:rsidRDefault="00D23211" w:rsidP="00D23211">
      <w:pPr>
        <w:spacing w:before="120"/>
        <w:rPr>
          <w:rFonts w:ascii="Arial" w:hAnsi="Arial"/>
        </w:rPr>
      </w:pPr>
      <w:r>
        <w:rPr>
          <w:rFonts w:ascii="Arial" w:hAnsi="Arial"/>
        </w:rPr>
        <w:t xml:space="preserve">School submit an application via the SEN </w:t>
      </w:r>
      <w:r w:rsidRPr="00782E24">
        <w:rPr>
          <w:rFonts w:ascii="Arial" w:hAnsi="Arial"/>
        </w:rPr>
        <w:t>portal (</w:t>
      </w:r>
      <w:hyperlink r:id="rId36" w:history="1">
        <w:r w:rsidRPr="00782E24">
          <w:rPr>
            <w:rStyle w:val="Hyperlink"/>
            <w:rFonts w:ascii="Arial" w:hAnsi="Arial"/>
          </w:rPr>
          <w:t>link to SEN guidance</w:t>
        </w:r>
      </w:hyperlink>
      <w:r w:rsidRPr="00782E24">
        <w:rPr>
          <w:rFonts w:ascii="Arial" w:hAnsi="Arial"/>
        </w:rPr>
        <w:t>).</w:t>
      </w:r>
      <w:r>
        <w:rPr>
          <w:rFonts w:ascii="Arial" w:hAnsi="Arial"/>
        </w:rPr>
        <w:t xml:space="preserve">  Once the application has been processed, if it is approved, the Schools’ Budget team will be notified.  All approved top up funding will then be passed to the school on a monthly basis through the schools advance system. Included within the budget template suite provided to schools is a tab titled “High Needs Funding Mainstream”.  Schools should record all of their HNPs on this tab and then reconcile the amounts to the schools advances system on a monthly basis.</w:t>
      </w:r>
    </w:p>
    <w:p w:rsidR="00D23211" w:rsidRDefault="00D23211" w:rsidP="00C93476">
      <w:pPr>
        <w:rPr>
          <w:rFonts w:ascii="Arial" w:hAnsi="Arial"/>
        </w:rPr>
      </w:pPr>
    </w:p>
    <w:sectPr w:rsidR="00D23211" w:rsidSect="005D0D35">
      <w:footerReference w:type="default" r:id="rId3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74B" w:rsidRDefault="000E374B" w:rsidP="004403EA">
      <w:r>
        <w:separator/>
      </w:r>
    </w:p>
  </w:endnote>
  <w:endnote w:type="continuationSeparator" w:id="0">
    <w:p w:rsidR="000E374B" w:rsidRDefault="000E374B" w:rsidP="0044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4B" w:rsidRPr="004403EA" w:rsidRDefault="000E374B">
    <w:pPr>
      <w:pStyle w:val="Footer"/>
      <w:jc w:val="center"/>
      <w:rPr>
        <w:rFonts w:ascii="Arial" w:hAnsi="Arial" w:cs="Arial"/>
      </w:rPr>
    </w:pPr>
    <w:r w:rsidRPr="004403EA">
      <w:rPr>
        <w:rFonts w:ascii="Arial" w:hAnsi="Arial" w:cs="Arial"/>
      </w:rPr>
      <w:fldChar w:fldCharType="begin"/>
    </w:r>
    <w:r w:rsidRPr="004403EA">
      <w:rPr>
        <w:rFonts w:ascii="Arial" w:hAnsi="Arial" w:cs="Arial"/>
      </w:rPr>
      <w:instrText xml:space="preserve"> PAGE   \* MERGEFORMAT </w:instrText>
    </w:r>
    <w:r w:rsidRPr="004403EA">
      <w:rPr>
        <w:rFonts w:ascii="Arial" w:hAnsi="Arial" w:cs="Arial"/>
      </w:rPr>
      <w:fldChar w:fldCharType="separate"/>
    </w:r>
    <w:r w:rsidR="0013009B">
      <w:rPr>
        <w:rFonts w:ascii="Arial" w:hAnsi="Arial" w:cs="Arial"/>
        <w:noProof/>
      </w:rPr>
      <w:t>1</w:t>
    </w:r>
    <w:r w:rsidRPr="004403EA">
      <w:rPr>
        <w:rFonts w:ascii="Arial" w:hAnsi="Arial" w:cs="Arial"/>
      </w:rPr>
      <w:fldChar w:fldCharType="end"/>
    </w:r>
  </w:p>
  <w:p w:rsidR="000E374B" w:rsidRDefault="000E3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74B" w:rsidRDefault="000E374B" w:rsidP="004403EA">
      <w:r>
        <w:separator/>
      </w:r>
    </w:p>
  </w:footnote>
  <w:footnote w:type="continuationSeparator" w:id="0">
    <w:p w:rsidR="000E374B" w:rsidRDefault="000E374B" w:rsidP="00440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8CE"/>
    <w:multiLevelType w:val="hybridMultilevel"/>
    <w:tmpl w:val="B9661D24"/>
    <w:lvl w:ilvl="0" w:tplc="617A19DE">
      <w:start w:val="1"/>
      <w:numFmt w:val="bullet"/>
      <w:lvlText w:val="-"/>
      <w:lvlJc w:val="left"/>
      <w:pPr>
        <w:ind w:left="1440" w:hanging="360"/>
      </w:pPr>
      <w:rPr>
        <w:rFonts w:ascii="Arial" w:eastAsia="Calibri" w:hAnsi="Arial" w:cs="Arial" w:hint="default"/>
      </w:rPr>
    </w:lvl>
    <w:lvl w:ilvl="1" w:tplc="08090003">
      <w:start w:val="1"/>
      <w:numFmt w:val="decimal"/>
      <w:lvlText w:val="%2."/>
      <w:lvlJc w:val="left"/>
      <w:pPr>
        <w:tabs>
          <w:tab w:val="num" w:pos="2160"/>
        </w:tabs>
        <w:ind w:left="2160" w:hanging="360"/>
      </w:p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1">
    <w:nsid w:val="012B6A73"/>
    <w:multiLevelType w:val="hybridMultilevel"/>
    <w:tmpl w:val="502297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1B7E5B"/>
    <w:multiLevelType w:val="multilevel"/>
    <w:tmpl w:val="640C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E44D6"/>
    <w:multiLevelType w:val="hybridMultilevel"/>
    <w:tmpl w:val="B6044F60"/>
    <w:lvl w:ilvl="0" w:tplc="F0E651F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2F53EF"/>
    <w:multiLevelType w:val="hybridMultilevel"/>
    <w:tmpl w:val="2E723F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D26774"/>
    <w:multiLevelType w:val="hybridMultilevel"/>
    <w:tmpl w:val="354CFF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5A4247"/>
    <w:multiLevelType w:val="hybridMultilevel"/>
    <w:tmpl w:val="1B001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0CE3A09"/>
    <w:multiLevelType w:val="hybridMultilevel"/>
    <w:tmpl w:val="498E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371BDF"/>
    <w:multiLevelType w:val="hybridMultilevel"/>
    <w:tmpl w:val="BD2E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0B7C82"/>
    <w:multiLevelType w:val="hybridMultilevel"/>
    <w:tmpl w:val="CACE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211429"/>
    <w:multiLevelType w:val="hybridMultilevel"/>
    <w:tmpl w:val="2AFE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752247"/>
    <w:multiLevelType w:val="hybridMultilevel"/>
    <w:tmpl w:val="8C947D16"/>
    <w:lvl w:ilvl="0" w:tplc="E79030A2">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A41F06"/>
    <w:multiLevelType w:val="hybridMultilevel"/>
    <w:tmpl w:val="82A2F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2A1CA9"/>
    <w:multiLevelType w:val="hybridMultilevel"/>
    <w:tmpl w:val="728CEC86"/>
    <w:lvl w:ilvl="0" w:tplc="3A1A7EFE">
      <w:start w:val="20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D64206"/>
    <w:multiLevelType w:val="hybridMultilevel"/>
    <w:tmpl w:val="9698C8DC"/>
    <w:lvl w:ilvl="0" w:tplc="2D800448">
      <w:numFmt w:val="bullet"/>
      <w:lvlText w:val="-"/>
      <w:lvlJc w:val="left"/>
      <w:pPr>
        <w:ind w:left="720" w:hanging="360"/>
      </w:pPr>
      <w:rPr>
        <w:rFonts w:ascii="Arial" w:eastAsia="Times New Roman"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1471C6"/>
    <w:multiLevelType w:val="multilevel"/>
    <w:tmpl w:val="06CE7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06B165E"/>
    <w:multiLevelType w:val="hybridMultilevel"/>
    <w:tmpl w:val="8708CFB2"/>
    <w:lvl w:ilvl="0" w:tplc="7778B080">
      <w:start w:val="1"/>
      <w:numFmt w:val="bullet"/>
      <w:lvlText w:val="•"/>
      <w:lvlJc w:val="left"/>
      <w:pPr>
        <w:tabs>
          <w:tab w:val="num" w:pos="720"/>
        </w:tabs>
        <w:ind w:left="720" w:hanging="360"/>
      </w:pPr>
      <w:rPr>
        <w:rFonts w:ascii="Arial" w:hAnsi="Arial" w:hint="default"/>
      </w:rPr>
    </w:lvl>
    <w:lvl w:ilvl="1" w:tplc="ADFAE120" w:tentative="1">
      <w:start w:val="1"/>
      <w:numFmt w:val="bullet"/>
      <w:lvlText w:val="•"/>
      <w:lvlJc w:val="left"/>
      <w:pPr>
        <w:tabs>
          <w:tab w:val="num" w:pos="1440"/>
        </w:tabs>
        <w:ind w:left="1440" w:hanging="360"/>
      </w:pPr>
      <w:rPr>
        <w:rFonts w:ascii="Arial" w:hAnsi="Arial" w:hint="default"/>
      </w:rPr>
    </w:lvl>
    <w:lvl w:ilvl="2" w:tplc="227073AC" w:tentative="1">
      <w:start w:val="1"/>
      <w:numFmt w:val="bullet"/>
      <w:lvlText w:val="•"/>
      <w:lvlJc w:val="left"/>
      <w:pPr>
        <w:tabs>
          <w:tab w:val="num" w:pos="2160"/>
        </w:tabs>
        <w:ind w:left="2160" w:hanging="360"/>
      </w:pPr>
      <w:rPr>
        <w:rFonts w:ascii="Arial" w:hAnsi="Arial" w:hint="default"/>
      </w:rPr>
    </w:lvl>
    <w:lvl w:ilvl="3" w:tplc="10AC0480" w:tentative="1">
      <w:start w:val="1"/>
      <w:numFmt w:val="bullet"/>
      <w:lvlText w:val="•"/>
      <w:lvlJc w:val="left"/>
      <w:pPr>
        <w:tabs>
          <w:tab w:val="num" w:pos="2880"/>
        </w:tabs>
        <w:ind w:left="2880" w:hanging="360"/>
      </w:pPr>
      <w:rPr>
        <w:rFonts w:ascii="Arial" w:hAnsi="Arial" w:hint="default"/>
      </w:rPr>
    </w:lvl>
    <w:lvl w:ilvl="4" w:tplc="056C557C" w:tentative="1">
      <w:start w:val="1"/>
      <w:numFmt w:val="bullet"/>
      <w:lvlText w:val="•"/>
      <w:lvlJc w:val="left"/>
      <w:pPr>
        <w:tabs>
          <w:tab w:val="num" w:pos="3600"/>
        </w:tabs>
        <w:ind w:left="3600" w:hanging="360"/>
      </w:pPr>
      <w:rPr>
        <w:rFonts w:ascii="Arial" w:hAnsi="Arial" w:hint="default"/>
      </w:rPr>
    </w:lvl>
    <w:lvl w:ilvl="5" w:tplc="0C323686" w:tentative="1">
      <w:start w:val="1"/>
      <w:numFmt w:val="bullet"/>
      <w:lvlText w:val="•"/>
      <w:lvlJc w:val="left"/>
      <w:pPr>
        <w:tabs>
          <w:tab w:val="num" w:pos="4320"/>
        </w:tabs>
        <w:ind w:left="4320" w:hanging="360"/>
      </w:pPr>
      <w:rPr>
        <w:rFonts w:ascii="Arial" w:hAnsi="Arial" w:hint="default"/>
      </w:rPr>
    </w:lvl>
    <w:lvl w:ilvl="6" w:tplc="30966770" w:tentative="1">
      <w:start w:val="1"/>
      <w:numFmt w:val="bullet"/>
      <w:lvlText w:val="•"/>
      <w:lvlJc w:val="left"/>
      <w:pPr>
        <w:tabs>
          <w:tab w:val="num" w:pos="5040"/>
        </w:tabs>
        <w:ind w:left="5040" w:hanging="360"/>
      </w:pPr>
      <w:rPr>
        <w:rFonts w:ascii="Arial" w:hAnsi="Arial" w:hint="default"/>
      </w:rPr>
    </w:lvl>
    <w:lvl w:ilvl="7" w:tplc="9B5C9EDA" w:tentative="1">
      <w:start w:val="1"/>
      <w:numFmt w:val="bullet"/>
      <w:lvlText w:val="•"/>
      <w:lvlJc w:val="left"/>
      <w:pPr>
        <w:tabs>
          <w:tab w:val="num" w:pos="5760"/>
        </w:tabs>
        <w:ind w:left="5760" w:hanging="360"/>
      </w:pPr>
      <w:rPr>
        <w:rFonts w:ascii="Arial" w:hAnsi="Arial" w:hint="default"/>
      </w:rPr>
    </w:lvl>
    <w:lvl w:ilvl="8" w:tplc="B00C4E54" w:tentative="1">
      <w:start w:val="1"/>
      <w:numFmt w:val="bullet"/>
      <w:lvlText w:val="•"/>
      <w:lvlJc w:val="left"/>
      <w:pPr>
        <w:tabs>
          <w:tab w:val="num" w:pos="6480"/>
        </w:tabs>
        <w:ind w:left="6480" w:hanging="360"/>
      </w:pPr>
      <w:rPr>
        <w:rFonts w:ascii="Arial" w:hAnsi="Arial" w:hint="default"/>
      </w:rPr>
    </w:lvl>
  </w:abstractNum>
  <w:abstractNum w:abstractNumId="17">
    <w:nsid w:val="437B7E84"/>
    <w:multiLevelType w:val="hybridMultilevel"/>
    <w:tmpl w:val="A9FA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EC7D28"/>
    <w:multiLevelType w:val="hybridMultilevel"/>
    <w:tmpl w:val="2D5A31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7069E9"/>
    <w:multiLevelType w:val="hybridMultilevel"/>
    <w:tmpl w:val="C4243E06"/>
    <w:lvl w:ilvl="0" w:tplc="814EF6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415E8E"/>
    <w:multiLevelType w:val="hybridMultilevel"/>
    <w:tmpl w:val="6590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C078C1"/>
    <w:multiLevelType w:val="hybridMultilevel"/>
    <w:tmpl w:val="C450B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9E6638"/>
    <w:multiLevelType w:val="hybridMultilevel"/>
    <w:tmpl w:val="6548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2200BB"/>
    <w:multiLevelType w:val="hybridMultilevel"/>
    <w:tmpl w:val="6E7E6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9DD33DB"/>
    <w:multiLevelType w:val="hybridMultilevel"/>
    <w:tmpl w:val="833028B8"/>
    <w:lvl w:ilvl="0" w:tplc="422E75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DF4A5F"/>
    <w:multiLevelType w:val="hybridMultilevel"/>
    <w:tmpl w:val="85D22CA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0AC7C1B"/>
    <w:multiLevelType w:val="hybridMultilevel"/>
    <w:tmpl w:val="C720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D975CC"/>
    <w:multiLevelType w:val="hybridMultilevel"/>
    <w:tmpl w:val="D40AFB0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nsid w:val="6551255A"/>
    <w:multiLevelType w:val="hybridMultilevel"/>
    <w:tmpl w:val="5284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996FC3"/>
    <w:multiLevelType w:val="hybridMultilevel"/>
    <w:tmpl w:val="2BC0B5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09261C"/>
    <w:multiLevelType w:val="hybridMultilevel"/>
    <w:tmpl w:val="76CC0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2B59B4"/>
    <w:multiLevelType w:val="hybridMultilevel"/>
    <w:tmpl w:val="1F2C2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721901A2"/>
    <w:multiLevelType w:val="hybridMultilevel"/>
    <w:tmpl w:val="1F98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77071E"/>
    <w:multiLevelType w:val="hybridMultilevel"/>
    <w:tmpl w:val="5CF2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17629D"/>
    <w:multiLevelType w:val="hybridMultilevel"/>
    <w:tmpl w:val="F31AF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F0067B1"/>
    <w:multiLevelType w:val="hybridMultilevel"/>
    <w:tmpl w:val="9BBAD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AF2ACF"/>
    <w:multiLevelType w:val="hybridMultilevel"/>
    <w:tmpl w:val="D0EEC4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32"/>
  </w:num>
  <w:num w:numId="3">
    <w:abstractNumId w:val="2"/>
  </w:num>
  <w:num w:numId="4">
    <w:abstractNumId w:val="9"/>
  </w:num>
  <w:num w:numId="5">
    <w:abstractNumId w:val="11"/>
  </w:num>
  <w:num w:numId="6">
    <w:abstractNumId w:val="7"/>
  </w:num>
  <w:num w:numId="7">
    <w:abstractNumId w:val="34"/>
  </w:num>
  <w:num w:numId="8">
    <w:abstractNumId w:val="29"/>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7"/>
  </w:num>
  <w:num w:numId="13">
    <w:abstractNumId w:val="17"/>
  </w:num>
  <w:num w:numId="14">
    <w:abstractNumId w:val="33"/>
  </w:num>
  <w:num w:numId="15">
    <w:abstractNumId w:val="24"/>
  </w:num>
  <w:num w:numId="16">
    <w:abstractNumId w:val="6"/>
  </w:num>
  <w:num w:numId="17">
    <w:abstractNumId w:val="31"/>
  </w:num>
  <w:num w:numId="18">
    <w:abstractNumId w:val="13"/>
  </w:num>
  <w:num w:numId="19">
    <w:abstractNumId w:val="25"/>
  </w:num>
  <w:num w:numId="20">
    <w:abstractNumId w:val="26"/>
  </w:num>
  <w:num w:numId="21">
    <w:abstractNumId w:val="22"/>
  </w:num>
  <w:num w:numId="22">
    <w:abstractNumId w:val="35"/>
  </w:num>
  <w:num w:numId="23">
    <w:abstractNumId w:val="4"/>
  </w:num>
  <w:num w:numId="24">
    <w:abstractNumId w:val="20"/>
  </w:num>
  <w:num w:numId="25">
    <w:abstractNumId w:val="16"/>
  </w:num>
  <w:num w:numId="26">
    <w:abstractNumId w:val="1"/>
  </w:num>
  <w:num w:numId="27">
    <w:abstractNumId w:val="18"/>
  </w:num>
  <w:num w:numId="28">
    <w:abstractNumId w:val="5"/>
  </w:num>
  <w:num w:numId="29">
    <w:abstractNumId w:val="10"/>
  </w:num>
  <w:num w:numId="30">
    <w:abstractNumId w:val="12"/>
  </w:num>
  <w:num w:numId="31">
    <w:abstractNumId w:val="19"/>
  </w:num>
  <w:num w:numId="32">
    <w:abstractNumId w:val="14"/>
  </w:num>
  <w:num w:numId="33">
    <w:abstractNumId w:val="3"/>
  </w:num>
  <w:num w:numId="34">
    <w:abstractNumId w:val="15"/>
  </w:num>
  <w:num w:numId="35">
    <w:abstractNumId w:val="28"/>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8"/>
  </w:num>
  <w:num w:numId="39">
    <w:abstractNumId w:val="3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0C"/>
    <w:rsid w:val="00001B18"/>
    <w:rsid w:val="000054FE"/>
    <w:rsid w:val="0000561A"/>
    <w:rsid w:val="00010A54"/>
    <w:rsid w:val="00012326"/>
    <w:rsid w:val="00014FEB"/>
    <w:rsid w:val="00016BC8"/>
    <w:rsid w:val="00016DF6"/>
    <w:rsid w:val="00027471"/>
    <w:rsid w:val="00043425"/>
    <w:rsid w:val="000467C6"/>
    <w:rsid w:val="00052388"/>
    <w:rsid w:val="00056DD4"/>
    <w:rsid w:val="000576A2"/>
    <w:rsid w:val="00057A31"/>
    <w:rsid w:val="00060F51"/>
    <w:rsid w:val="00061139"/>
    <w:rsid w:val="00061A9C"/>
    <w:rsid w:val="000636C8"/>
    <w:rsid w:val="00064BF3"/>
    <w:rsid w:val="000670C4"/>
    <w:rsid w:val="00067162"/>
    <w:rsid w:val="00071F03"/>
    <w:rsid w:val="000742C0"/>
    <w:rsid w:val="00074C88"/>
    <w:rsid w:val="00075899"/>
    <w:rsid w:val="00081087"/>
    <w:rsid w:val="00082F18"/>
    <w:rsid w:val="00090FAF"/>
    <w:rsid w:val="000916E6"/>
    <w:rsid w:val="00092C1F"/>
    <w:rsid w:val="00093139"/>
    <w:rsid w:val="000938A3"/>
    <w:rsid w:val="00094EE4"/>
    <w:rsid w:val="000A23EC"/>
    <w:rsid w:val="000A289D"/>
    <w:rsid w:val="000A75E1"/>
    <w:rsid w:val="000B050C"/>
    <w:rsid w:val="000B342B"/>
    <w:rsid w:val="000B5DDF"/>
    <w:rsid w:val="000C0886"/>
    <w:rsid w:val="000C0B20"/>
    <w:rsid w:val="000C4B82"/>
    <w:rsid w:val="000D3F6E"/>
    <w:rsid w:val="000D7E0F"/>
    <w:rsid w:val="000E1489"/>
    <w:rsid w:val="000E1A59"/>
    <w:rsid w:val="000E2FA1"/>
    <w:rsid w:val="000E374B"/>
    <w:rsid w:val="000E3EDC"/>
    <w:rsid w:val="000F7F79"/>
    <w:rsid w:val="00101042"/>
    <w:rsid w:val="0010412D"/>
    <w:rsid w:val="00110F97"/>
    <w:rsid w:val="001129BC"/>
    <w:rsid w:val="0012081D"/>
    <w:rsid w:val="0012163E"/>
    <w:rsid w:val="001254C2"/>
    <w:rsid w:val="00126628"/>
    <w:rsid w:val="0013009B"/>
    <w:rsid w:val="00132D2C"/>
    <w:rsid w:val="00133010"/>
    <w:rsid w:val="00134854"/>
    <w:rsid w:val="00134D23"/>
    <w:rsid w:val="00137769"/>
    <w:rsid w:val="00140E66"/>
    <w:rsid w:val="00146BDE"/>
    <w:rsid w:val="00150A51"/>
    <w:rsid w:val="0015600E"/>
    <w:rsid w:val="00160090"/>
    <w:rsid w:val="00160565"/>
    <w:rsid w:val="001648C7"/>
    <w:rsid w:val="00165042"/>
    <w:rsid w:val="001662DC"/>
    <w:rsid w:val="00166B07"/>
    <w:rsid w:val="00167462"/>
    <w:rsid w:val="00170E9F"/>
    <w:rsid w:val="0017498C"/>
    <w:rsid w:val="00175C43"/>
    <w:rsid w:val="00181F82"/>
    <w:rsid w:val="00184744"/>
    <w:rsid w:val="001903FE"/>
    <w:rsid w:val="0019076B"/>
    <w:rsid w:val="00191E74"/>
    <w:rsid w:val="00195FB1"/>
    <w:rsid w:val="001A05B0"/>
    <w:rsid w:val="001A0E80"/>
    <w:rsid w:val="001A647C"/>
    <w:rsid w:val="001B1CC0"/>
    <w:rsid w:val="001C25DE"/>
    <w:rsid w:val="001C5662"/>
    <w:rsid w:val="001C6C84"/>
    <w:rsid w:val="001D37FE"/>
    <w:rsid w:val="001D6C66"/>
    <w:rsid w:val="001F79C5"/>
    <w:rsid w:val="00214502"/>
    <w:rsid w:val="00221091"/>
    <w:rsid w:val="0022131D"/>
    <w:rsid w:val="00230B67"/>
    <w:rsid w:val="00237A69"/>
    <w:rsid w:val="00240A2A"/>
    <w:rsid w:val="00240B08"/>
    <w:rsid w:val="00252048"/>
    <w:rsid w:val="0025540F"/>
    <w:rsid w:val="00262705"/>
    <w:rsid w:val="00265595"/>
    <w:rsid w:val="002655A9"/>
    <w:rsid w:val="00274EAF"/>
    <w:rsid w:val="0027784C"/>
    <w:rsid w:val="00291146"/>
    <w:rsid w:val="00291A93"/>
    <w:rsid w:val="00293ADA"/>
    <w:rsid w:val="00293B5D"/>
    <w:rsid w:val="002A00C2"/>
    <w:rsid w:val="002A2DDE"/>
    <w:rsid w:val="002A7541"/>
    <w:rsid w:val="002B01F3"/>
    <w:rsid w:val="002B46CD"/>
    <w:rsid w:val="002B7224"/>
    <w:rsid w:val="002C102A"/>
    <w:rsid w:val="002C450F"/>
    <w:rsid w:val="002D0B59"/>
    <w:rsid w:val="002D109E"/>
    <w:rsid w:val="002D77E2"/>
    <w:rsid w:val="002E4D3B"/>
    <w:rsid w:val="002F2752"/>
    <w:rsid w:val="002F3382"/>
    <w:rsid w:val="002F3E30"/>
    <w:rsid w:val="002F7982"/>
    <w:rsid w:val="003003F0"/>
    <w:rsid w:val="003009D6"/>
    <w:rsid w:val="00301A67"/>
    <w:rsid w:val="0030244C"/>
    <w:rsid w:val="00305001"/>
    <w:rsid w:val="003107AD"/>
    <w:rsid w:val="00312685"/>
    <w:rsid w:val="003134B5"/>
    <w:rsid w:val="003179F2"/>
    <w:rsid w:val="00325FE0"/>
    <w:rsid w:val="003273DA"/>
    <w:rsid w:val="0032780A"/>
    <w:rsid w:val="00327D12"/>
    <w:rsid w:val="00327DC6"/>
    <w:rsid w:val="00331C99"/>
    <w:rsid w:val="00332DD2"/>
    <w:rsid w:val="00334197"/>
    <w:rsid w:val="003442B4"/>
    <w:rsid w:val="00344DA0"/>
    <w:rsid w:val="00354773"/>
    <w:rsid w:val="00354E4B"/>
    <w:rsid w:val="00355E75"/>
    <w:rsid w:val="0035626E"/>
    <w:rsid w:val="003566FA"/>
    <w:rsid w:val="00364B7A"/>
    <w:rsid w:val="003719F3"/>
    <w:rsid w:val="00373950"/>
    <w:rsid w:val="0037481C"/>
    <w:rsid w:val="00377425"/>
    <w:rsid w:val="0038103A"/>
    <w:rsid w:val="003818B0"/>
    <w:rsid w:val="00385E39"/>
    <w:rsid w:val="0038741D"/>
    <w:rsid w:val="003930BF"/>
    <w:rsid w:val="00394676"/>
    <w:rsid w:val="0039558A"/>
    <w:rsid w:val="0039612D"/>
    <w:rsid w:val="003A0E4C"/>
    <w:rsid w:val="003A5B4D"/>
    <w:rsid w:val="003C0756"/>
    <w:rsid w:val="003D76B4"/>
    <w:rsid w:val="003D77E1"/>
    <w:rsid w:val="003E2D15"/>
    <w:rsid w:val="003E66F9"/>
    <w:rsid w:val="003E6B75"/>
    <w:rsid w:val="003F2453"/>
    <w:rsid w:val="003F2515"/>
    <w:rsid w:val="003F46AF"/>
    <w:rsid w:val="003F4C68"/>
    <w:rsid w:val="003F513E"/>
    <w:rsid w:val="003F5F2C"/>
    <w:rsid w:val="003F6C16"/>
    <w:rsid w:val="003F7D16"/>
    <w:rsid w:val="00405C96"/>
    <w:rsid w:val="00410C37"/>
    <w:rsid w:val="004147EF"/>
    <w:rsid w:val="004147F0"/>
    <w:rsid w:val="00417EC5"/>
    <w:rsid w:val="0043011D"/>
    <w:rsid w:val="004375B5"/>
    <w:rsid w:val="004401D4"/>
    <w:rsid w:val="004403EA"/>
    <w:rsid w:val="00442CF9"/>
    <w:rsid w:val="00442EEF"/>
    <w:rsid w:val="004456BE"/>
    <w:rsid w:val="00450277"/>
    <w:rsid w:val="00452E71"/>
    <w:rsid w:val="00453526"/>
    <w:rsid w:val="00466461"/>
    <w:rsid w:val="00472F5C"/>
    <w:rsid w:val="00481FB1"/>
    <w:rsid w:val="004851B7"/>
    <w:rsid w:val="00487533"/>
    <w:rsid w:val="00487B3E"/>
    <w:rsid w:val="004A21DB"/>
    <w:rsid w:val="004A340D"/>
    <w:rsid w:val="004B2C14"/>
    <w:rsid w:val="004D03A3"/>
    <w:rsid w:val="004D4052"/>
    <w:rsid w:val="004D7142"/>
    <w:rsid w:val="004F0328"/>
    <w:rsid w:val="004F0BD0"/>
    <w:rsid w:val="004F61B3"/>
    <w:rsid w:val="00503070"/>
    <w:rsid w:val="00503D03"/>
    <w:rsid w:val="00506240"/>
    <w:rsid w:val="00514B09"/>
    <w:rsid w:val="00515F60"/>
    <w:rsid w:val="00526389"/>
    <w:rsid w:val="00533F87"/>
    <w:rsid w:val="005366EE"/>
    <w:rsid w:val="00543049"/>
    <w:rsid w:val="0055077A"/>
    <w:rsid w:val="005602AA"/>
    <w:rsid w:val="0056172D"/>
    <w:rsid w:val="00562E2C"/>
    <w:rsid w:val="0056374F"/>
    <w:rsid w:val="005653CB"/>
    <w:rsid w:val="00570B48"/>
    <w:rsid w:val="00571352"/>
    <w:rsid w:val="00571981"/>
    <w:rsid w:val="00576D03"/>
    <w:rsid w:val="005834AD"/>
    <w:rsid w:val="005A6F56"/>
    <w:rsid w:val="005B05C1"/>
    <w:rsid w:val="005B17FD"/>
    <w:rsid w:val="005B628E"/>
    <w:rsid w:val="005C2927"/>
    <w:rsid w:val="005C3BEB"/>
    <w:rsid w:val="005C7FBB"/>
    <w:rsid w:val="005D0D35"/>
    <w:rsid w:val="005D55E0"/>
    <w:rsid w:val="005D5B9D"/>
    <w:rsid w:val="005E27E8"/>
    <w:rsid w:val="005E2834"/>
    <w:rsid w:val="005E7392"/>
    <w:rsid w:val="005F0EA8"/>
    <w:rsid w:val="005F1235"/>
    <w:rsid w:val="005F5264"/>
    <w:rsid w:val="00603529"/>
    <w:rsid w:val="00603F4A"/>
    <w:rsid w:val="00605C1B"/>
    <w:rsid w:val="00606004"/>
    <w:rsid w:val="006061E1"/>
    <w:rsid w:val="00606BE1"/>
    <w:rsid w:val="0060789A"/>
    <w:rsid w:val="00622403"/>
    <w:rsid w:val="00622424"/>
    <w:rsid w:val="0062498B"/>
    <w:rsid w:val="00624C06"/>
    <w:rsid w:val="00627F32"/>
    <w:rsid w:val="0063050A"/>
    <w:rsid w:val="00636DB2"/>
    <w:rsid w:val="0064368D"/>
    <w:rsid w:val="00650297"/>
    <w:rsid w:val="006622C3"/>
    <w:rsid w:val="00671BE0"/>
    <w:rsid w:val="00672205"/>
    <w:rsid w:val="006756B1"/>
    <w:rsid w:val="00675B37"/>
    <w:rsid w:val="006768DF"/>
    <w:rsid w:val="006840AE"/>
    <w:rsid w:val="00691F62"/>
    <w:rsid w:val="00692E9F"/>
    <w:rsid w:val="00693221"/>
    <w:rsid w:val="0069419C"/>
    <w:rsid w:val="006A0B6D"/>
    <w:rsid w:val="006A2964"/>
    <w:rsid w:val="006B06EC"/>
    <w:rsid w:val="006B0925"/>
    <w:rsid w:val="006B3F24"/>
    <w:rsid w:val="006B4B9B"/>
    <w:rsid w:val="006B74A5"/>
    <w:rsid w:val="006B7AC2"/>
    <w:rsid w:val="006C2DB3"/>
    <w:rsid w:val="006C39DE"/>
    <w:rsid w:val="006C5975"/>
    <w:rsid w:val="006C7F7C"/>
    <w:rsid w:val="006E1CF4"/>
    <w:rsid w:val="006E28DD"/>
    <w:rsid w:val="006F3054"/>
    <w:rsid w:val="006F5ED2"/>
    <w:rsid w:val="007044B9"/>
    <w:rsid w:val="007067F9"/>
    <w:rsid w:val="00713682"/>
    <w:rsid w:val="007219EA"/>
    <w:rsid w:val="00722F41"/>
    <w:rsid w:val="0072764E"/>
    <w:rsid w:val="00730F61"/>
    <w:rsid w:val="0073458D"/>
    <w:rsid w:val="0073783A"/>
    <w:rsid w:val="007462A2"/>
    <w:rsid w:val="007471CC"/>
    <w:rsid w:val="00750563"/>
    <w:rsid w:val="0075308C"/>
    <w:rsid w:val="0075398A"/>
    <w:rsid w:val="00757CC5"/>
    <w:rsid w:val="00757D2B"/>
    <w:rsid w:val="0077053D"/>
    <w:rsid w:val="00770D13"/>
    <w:rsid w:val="0077153D"/>
    <w:rsid w:val="007736E8"/>
    <w:rsid w:val="007750D0"/>
    <w:rsid w:val="00780912"/>
    <w:rsid w:val="00782E24"/>
    <w:rsid w:val="00785E65"/>
    <w:rsid w:val="00792113"/>
    <w:rsid w:val="00792EAF"/>
    <w:rsid w:val="007934D7"/>
    <w:rsid w:val="00794A68"/>
    <w:rsid w:val="007A5DBA"/>
    <w:rsid w:val="007B170C"/>
    <w:rsid w:val="007B45D8"/>
    <w:rsid w:val="007B6A32"/>
    <w:rsid w:val="007C25E3"/>
    <w:rsid w:val="007C287D"/>
    <w:rsid w:val="007C2A85"/>
    <w:rsid w:val="007C7206"/>
    <w:rsid w:val="007D21DB"/>
    <w:rsid w:val="007E0EB6"/>
    <w:rsid w:val="007E7342"/>
    <w:rsid w:val="007E745C"/>
    <w:rsid w:val="007E7ED0"/>
    <w:rsid w:val="007F0D7D"/>
    <w:rsid w:val="007F14A7"/>
    <w:rsid w:val="007F60E1"/>
    <w:rsid w:val="008002D3"/>
    <w:rsid w:val="00804280"/>
    <w:rsid w:val="00804363"/>
    <w:rsid w:val="00813A41"/>
    <w:rsid w:val="008176E7"/>
    <w:rsid w:val="00825A8B"/>
    <w:rsid w:val="008276D4"/>
    <w:rsid w:val="008343F8"/>
    <w:rsid w:val="0084406C"/>
    <w:rsid w:val="008443B7"/>
    <w:rsid w:val="00845A5C"/>
    <w:rsid w:val="00865A92"/>
    <w:rsid w:val="00867FBC"/>
    <w:rsid w:val="00870E51"/>
    <w:rsid w:val="008771FF"/>
    <w:rsid w:val="00877356"/>
    <w:rsid w:val="008811AF"/>
    <w:rsid w:val="00882173"/>
    <w:rsid w:val="0088219B"/>
    <w:rsid w:val="008822B9"/>
    <w:rsid w:val="00883801"/>
    <w:rsid w:val="008849C0"/>
    <w:rsid w:val="00896CB9"/>
    <w:rsid w:val="00897115"/>
    <w:rsid w:val="008A17A1"/>
    <w:rsid w:val="008B55F3"/>
    <w:rsid w:val="008C156D"/>
    <w:rsid w:val="008C19DD"/>
    <w:rsid w:val="008C1B89"/>
    <w:rsid w:val="008C203B"/>
    <w:rsid w:val="008C4EBD"/>
    <w:rsid w:val="008C5B93"/>
    <w:rsid w:val="008C72E9"/>
    <w:rsid w:val="008D033D"/>
    <w:rsid w:val="008D17E7"/>
    <w:rsid w:val="008E3F12"/>
    <w:rsid w:val="008E4031"/>
    <w:rsid w:val="008E5A44"/>
    <w:rsid w:val="008E7367"/>
    <w:rsid w:val="008F1ECD"/>
    <w:rsid w:val="008F71AE"/>
    <w:rsid w:val="0090289B"/>
    <w:rsid w:val="00904084"/>
    <w:rsid w:val="0091731E"/>
    <w:rsid w:val="00920A78"/>
    <w:rsid w:val="0092108E"/>
    <w:rsid w:val="00926833"/>
    <w:rsid w:val="009319E5"/>
    <w:rsid w:val="0093733A"/>
    <w:rsid w:val="00943116"/>
    <w:rsid w:val="00945A3D"/>
    <w:rsid w:val="00950916"/>
    <w:rsid w:val="009612A3"/>
    <w:rsid w:val="009640AC"/>
    <w:rsid w:val="00970E07"/>
    <w:rsid w:val="00974237"/>
    <w:rsid w:val="009902F3"/>
    <w:rsid w:val="009912C8"/>
    <w:rsid w:val="009919C3"/>
    <w:rsid w:val="009A0C44"/>
    <w:rsid w:val="009A18EE"/>
    <w:rsid w:val="009A2945"/>
    <w:rsid w:val="009A3E5D"/>
    <w:rsid w:val="009A4A99"/>
    <w:rsid w:val="009A6A6E"/>
    <w:rsid w:val="009B0703"/>
    <w:rsid w:val="009B30F1"/>
    <w:rsid w:val="009B7C4B"/>
    <w:rsid w:val="009C4B48"/>
    <w:rsid w:val="009C5B1F"/>
    <w:rsid w:val="009C6424"/>
    <w:rsid w:val="009D2040"/>
    <w:rsid w:val="009D595C"/>
    <w:rsid w:val="009D5FC2"/>
    <w:rsid w:val="009D7579"/>
    <w:rsid w:val="009E327B"/>
    <w:rsid w:val="009E363F"/>
    <w:rsid w:val="009E4408"/>
    <w:rsid w:val="009E6EB2"/>
    <w:rsid w:val="009E7283"/>
    <w:rsid w:val="009F1049"/>
    <w:rsid w:val="009F5093"/>
    <w:rsid w:val="009F563A"/>
    <w:rsid w:val="00A041AB"/>
    <w:rsid w:val="00A04E2F"/>
    <w:rsid w:val="00A0713C"/>
    <w:rsid w:val="00A11AAB"/>
    <w:rsid w:val="00A207DA"/>
    <w:rsid w:val="00A20BB4"/>
    <w:rsid w:val="00A236CE"/>
    <w:rsid w:val="00A25D03"/>
    <w:rsid w:val="00A306E8"/>
    <w:rsid w:val="00A3364D"/>
    <w:rsid w:val="00A353EE"/>
    <w:rsid w:val="00A36F76"/>
    <w:rsid w:val="00A37B69"/>
    <w:rsid w:val="00A40892"/>
    <w:rsid w:val="00A4467F"/>
    <w:rsid w:val="00A5201C"/>
    <w:rsid w:val="00A541CA"/>
    <w:rsid w:val="00A55B49"/>
    <w:rsid w:val="00A56006"/>
    <w:rsid w:val="00A60CB9"/>
    <w:rsid w:val="00A631DB"/>
    <w:rsid w:val="00A64441"/>
    <w:rsid w:val="00A65BB5"/>
    <w:rsid w:val="00A67905"/>
    <w:rsid w:val="00A7569C"/>
    <w:rsid w:val="00A80D4A"/>
    <w:rsid w:val="00A82C6D"/>
    <w:rsid w:val="00A86022"/>
    <w:rsid w:val="00A87A6F"/>
    <w:rsid w:val="00A932FB"/>
    <w:rsid w:val="00AA1C55"/>
    <w:rsid w:val="00AA4A22"/>
    <w:rsid w:val="00AB44A2"/>
    <w:rsid w:val="00AB562D"/>
    <w:rsid w:val="00AB6FCB"/>
    <w:rsid w:val="00AC3218"/>
    <w:rsid w:val="00AC4415"/>
    <w:rsid w:val="00AD13CE"/>
    <w:rsid w:val="00AD2D06"/>
    <w:rsid w:val="00AE2E9B"/>
    <w:rsid w:val="00AE69FF"/>
    <w:rsid w:val="00AF0A2E"/>
    <w:rsid w:val="00AF4C38"/>
    <w:rsid w:val="00AF5896"/>
    <w:rsid w:val="00AF7A4B"/>
    <w:rsid w:val="00B029C5"/>
    <w:rsid w:val="00B04632"/>
    <w:rsid w:val="00B15AEC"/>
    <w:rsid w:val="00B15D5A"/>
    <w:rsid w:val="00B15EE8"/>
    <w:rsid w:val="00B170E1"/>
    <w:rsid w:val="00B21C56"/>
    <w:rsid w:val="00B339C6"/>
    <w:rsid w:val="00B35489"/>
    <w:rsid w:val="00B42FB7"/>
    <w:rsid w:val="00B45A38"/>
    <w:rsid w:val="00B47344"/>
    <w:rsid w:val="00B47DDC"/>
    <w:rsid w:val="00B51DA9"/>
    <w:rsid w:val="00B56C00"/>
    <w:rsid w:val="00B57248"/>
    <w:rsid w:val="00B616DD"/>
    <w:rsid w:val="00B75C16"/>
    <w:rsid w:val="00B7646B"/>
    <w:rsid w:val="00B77CD4"/>
    <w:rsid w:val="00B8277C"/>
    <w:rsid w:val="00B83512"/>
    <w:rsid w:val="00B93E0C"/>
    <w:rsid w:val="00BA42C6"/>
    <w:rsid w:val="00BA5583"/>
    <w:rsid w:val="00BA69D4"/>
    <w:rsid w:val="00BA766B"/>
    <w:rsid w:val="00BB00F2"/>
    <w:rsid w:val="00BB3FAD"/>
    <w:rsid w:val="00BB4E34"/>
    <w:rsid w:val="00BC1646"/>
    <w:rsid w:val="00BC2E7B"/>
    <w:rsid w:val="00BE07BA"/>
    <w:rsid w:val="00BE1A26"/>
    <w:rsid w:val="00BE2D61"/>
    <w:rsid w:val="00BE62CC"/>
    <w:rsid w:val="00BE7138"/>
    <w:rsid w:val="00BF3852"/>
    <w:rsid w:val="00BF4E74"/>
    <w:rsid w:val="00C037BF"/>
    <w:rsid w:val="00C05FDE"/>
    <w:rsid w:val="00C14D0D"/>
    <w:rsid w:val="00C14EE6"/>
    <w:rsid w:val="00C1675E"/>
    <w:rsid w:val="00C17536"/>
    <w:rsid w:val="00C178BC"/>
    <w:rsid w:val="00C2482B"/>
    <w:rsid w:val="00C34276"/>
    <w:rsid w:val="00C438A2"/>
    <w:rsid w:val="00C47D5E"/>
    <w:rsid w:val="00C52617"/>
    <w:rsid w:val="00C57E5A"/>
    <w:rsid w:val="00C6056A"/>
    <w:rsid w:val="00C61538"/>
    <w:rsid w:val="00C71CFD"/>
    <w:rsid w:val="00C74343"/>
    <w:rsid w:val="00C76200"/>
    <w:rsid w:val="00C80FA8"/>
    <w:rsid w:val="00C827E9"/>
    <w:rsid w:val="00C83028"/>
    <w:rsid w:val="00C845D7"/>
    <w:rsid w:val="00C8786B"/>
    <w:rsid w:val="00C93476"/>
    <w:rsid w:val="00C9394A"/>
    <w:rsid w:val="00CA2E90"/>
    <w:rsid w:val="00CA667A"/>
    <w:rsid w:val="00CB39FA"/>
    <w:rsid w:val="00CB6BB6"/>
    <w:rsid w:val="00CC0074"/>
    <w:rsid w:val="00CC0524"/>
    <w:rsid w:val="00CC1FB0"/>
    <w:rsid w:val="00CD1981"/>
    <w:rsid w:val="00CD2327"/>
    <w:rsid w:val="00CD4B85"/>
    <w:rsid w:val="00CD574B"/>
    <w:rsid w:val="00CF0CA7"/>
    <w:rsid w:val="00CF14A0"/>
    <w:rsid w:val="00CF2CBB"/>
    <w:rsid w:val="00CF4679"/>
    <w:rsid w:val="00D00D86"/>
    <w:rsid w:val="00D02BFA"/>
    <w:rsid w:val="00D04161"/>
    <w:rsid w:val="00D06273"/>
    <w:rsid w:val="00D07373"/>
    <w:rsid w:val="00D14732"/>
    <w:rsid w:val="00D17A25"/>
    <w:rsid w:val="00D20A81"/>
    <w:rsid w:val="00D21510"/>
    <w:rsid w:val="00D23211"/>
    <w:rsid w:val="00D25EED"/>
    <w:rsid w:val="00D27883"/>
    <w:rsid w:val="00D324F9"/>
    <w:rsid w:val="00D329EB"/>
    <w:rsid w:val="00D33E05"/>
    <w:rsid w:val="00D41800"/>
    <w:rsid w:val="00D4607E"/>
    <w:rsid w:val="00D463FA"/>
    <w:rsid w:val="00D47535"/>
    <w:rsid w:val="00D518BF"/>
    <w:rsid w:val="00D540E1"/>
    <w:rsid w:val="00D65900"/>
    <w:rsid w:val="00D677E2"/>
    <w:rsid w:val="00D70630"/>
    <w:rsid w:val="00D73552"/>
    <w:rsid w:val="00D77D82"/>
    <w:rsid w:val="00D80E1E"/>
    <w:rsid w:val="00D81D97"/>
    <w:rsid w:val="00D918C0"/>
    <w:rsid w:val="00DA12E1"/>
    <w:rsid w:val="00DA4962"/>
    <w:rsid w:val="00DA6162"/>
    <w:rsid w:val="00DB25A2"/>
    <w:rsid w:val="00DB5143"/>
    <w:rsid w:val="00DB5891"/>
    <w:rsid w:val="00DC419C"/>
    <w:rsid w:val="00DC4645"/>
    <w:rsid w:val="00DD540A"/>
    <w:rsid w:val="00DE4FDF"/>
    <w:rsid w:val="00DE5520"/>
    <w:rsid w:val="00DE5E8F"/>
    <w:rsid w:val="00DE620B"/>
    <w:rsid w:val="00DF20D3"/>
    <w:rsid w:val="00DF47FA"/>
    <w:rsid w:val="00E006CB"/>
    <w:rsid w:val="00E01965"/>
    <w:rsid w:val="00E03056"/>
    <w:rsid w:val="00E07DCA"/>
    <w:rsid w:val="00E12F01"/>
    <w:rsid w:val="00E2431A"/>
    <w:rsid w:val="00E27394"/>
    <w:rsid w:val="00E31D23"/>
    <w:rsid w:val="00E367B4"/>
    <w:rsid w:val="00E42709"/>
    <w:rsid w:val="00E461E6"/>
    <w:rsid w:val="00E633A8"/>
    <w:rsid w:val="00E66552"/>
    <w:rsid w:val="00E66E19"/>
    <w:rsid w:val="00E707FF"/>
    <w:rsid w:val="00E7433E"/>
    <w:rsid w:val="00E743EF"/>
    <w:rsid w:val="00E76E9C"/>
    <w:rsid w:val="00E837CD"/>
    <w:rsid w:val="00E86ADB"/>
    <w:rsid w:val="00E86D37"/>
    <w:rsid w:val="00E91042"/>
    <w:rsid w:val="00E92AB2"/>
    <w:rsid w:val="00E945E1"/>
    <w:rsid w:val="00E96105"/>
    <w:rsid w:val="00EA7F83"/>
    <w:rsid w:val="00EB287F"/>
    <w:rsid w:val="00EB40AB"/>
    <w:rsid w:val="00EB4175"/>
    <w:rsid w:val="00EC1E7B"/>
    <w:rsid w:val="00EC644D"/>
    <w:rsid w:val="00EC6F94"/>
    <w:rsid w:val="00EC7BA9"/>
    <w:rsid w:val="00ED6DDE"/>
    <w:rsid w:val="00EE1D92"/>
    <w:rsid w:val="00EF122D"/>
    <w:rsid w:val="00EF245C"/>
    <w:rsid w:val="00EF2800"/>
    <w:rsid w:val="00EF3DDA"/>
    <w:rsid w:val="00EF6AF3"/>
    <w:rsid w:val="00EF7958"/>
    <w:rsid w:val="00F0042C"/>
    <w:rsid w:val="00F01355"/>
    <w:rsid w:val="00F23F92"/>
    <w:rsid w:val="00F3243C"/>
    <w:rsid w:val="00F375FE"/>
    <w:rsid w:val="00F409D7"/>
    <w:rsid w:val="00F432AC"/>
    <w:rsid w:val="00F4450E"/>
    <w:rsid w:val="00F44EE9"/>
    <w:rsid w:val="00F479DA"/>
    <w:rsid w:val="00F5423E"/>
    <w:rsid w:val="00F61043"/>
    <w:rsid w:val="00F63624"/>
    <w:rsid w:val="00F63B9E"/>
    <w:rsid w:val="00F65D4C"/>
    <w:rsid w:val="00F84CFC"/>
    <w:rsid w:val="00F91B81"/>
    <w:rsid w:val="00F933D5"/>
    <w:rsid w:val="00FA01F1"/>
    <w:rsid w:val="00FA510E"/>
    <w:rsid w:val="00FB18FC"/>
    <w:rsid w:val="00FC5178"/>
    <w:rsid w:val="00FC5C1A"/>
    <w:rsid w:val="00FC7DCB"/>
    <w:rsid w:val="00FD0B4F"/>
    <w:rsid w:val="00FD40EF"/>
    <w:rsid w:val="00FE0BBF"/>
    <w:rsid w:val="00FE4666"/>
    <w:rsid w:val="00FE68F8"/>
    <w:rsid w:val="00FE6A9C"/>
    <w:rsid w:val="00FF0365"/>
    <w:rsid w:val="00FF2F69"/>
    <w:rsid w:val="00FF5718"/>
    <w:rsid w:val="00FF5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892"/>
    <w:rPr>
      <w:sz w:val="24"/>
      <w:szCs w:val="24"/>
    </w:rPr>
  </w:style>
  <w:style w:type="paragraph" w:styleId="Heading1">
    <w:name w:val="heading 1"/>
    <w:basedOn w:val="Normal"/>
    <w:next w:val="Normal"/>
    <w:link w:val="Heading1Char"/>
    <w:qFormat/>
    <w:rsid w:val="00CD4B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E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93E0C"/>
    <w:pPr>
      <w:ind w:left="720"/>
      <w:contextualSpacing/>
    </w:pPr>
  </w:style>
  <w:style w:type="paragraph" w:styleId="NormalWeb">
    <w:name w:val="Normal (Web)"/>
    <w:basedOn w:val="Normal"/>
    <w:uiPriority w:val="99"/>
    <w:unhideWhenUsed/>
    <w:rsid w:val="00092C1F"/>
    <w:pPr>
      <w:spacing w:before="100" w:beforeAutospacing="1" w:after="100" w:afterAutospacing="1"/>
    </w:pPr>
  </w:style>
  <w:style w:type="character" w:styleId="Hyperlink">
    <w:name w:val="Hyperlink"/>
    <w:uiPriority w:val="99"/>
    <w:rsid w:val="002F3E30"/>
    <w:rPr>
      <w:color w:val="0000FF"/>
      <w:u w:val="single"/>
    </w:rPr>
  </w:style>
  <w:style w:type="character" w:styleId="FollowedHyperlink">
    <w:name w:val="FollowedHyperlink"/>
    <w:rsid w:val="00F933D5"/>
    <w:rPr>
      <w:color w:val="800080"/>
      <w:u w:val="single"/>
    </w:rPr>
  </w:style>
  <w:style w:type="paragraph" w:styleId="Header">
    <w:name w:val="header"/>
    <w:basedOn w:val="Normal"/>
    <w:link w:val="HeaderChar"/>
    <w:rsid w:val="004403EA"/>
    <w:pPr>
      <w:tabs>
        <w:tab w:val="center" w:pos="4513"/>
        <w:tab w:val="right" w:pos="9026"/>
      </w:tabs>
    </w:pPr>
  </w:style>
  <w:style w:type="character" w:customStyle="1" w:styleId="HeaderChar">
    <w:name w:val="Header Char"/>
    <w:link w:val="Header"/>
    <w:rsid w:val="004403EA"/>
    <w:rPr>
      <w:sz w:val="24"/>
      <w:szCs w:val="24"/>
    </w:rPr>
  </w:style>
  <w:style w:type="paragraph" w:styleId="Footer">
    <w:name w:val="footer"/>
    <w:basedOn w:val="Normal"/>
    <w:link w:val="FooterChar"/>
    <w:uiPriority w:val="99"/>
    <w:rsid w:val="004403EA"/>
    <w:pPr>
      <w:tabs>
        <w:tab w:val="center" w:pos="4513"/>
        <w:tab w:val="right" w:pos="9026"/>
      </w:tabs>
    </w:pPr>
  </w:style>
  <w:style w:type="character" w:customStyle="1" w:styleId="FooterChar">
    <w:name w:val="Footer Char"/>
    <w:link w:val="Footer"/>
    <w:uiPriority w:val="99"/>
    <w:rsid w:val="004403EA"/>
    <w:rPr>
      <w:sz w:val="24"/>
      <w:szCs w:val="24"/>
    </w:rPr>
  </w:style>
  <w:style w:type="character" w:styleId="Strong">
    <w:name w:val="Strong"/>
    <w:uiPriority w:val="22"/>
    <w:qFormat/>
    <w:rsid w:val="009E6EB2"/>
    <w:rPr>
      <w:b/>
      <w:bCs/>
    </w:rPr>
  </w:style>
  <w:style w:type="paragraph" w:customStyle="1" w:styleId="Default">
    <w:name w:val="Default"/>
    <w:rsid w:val="008F71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B40AB"/>
    <w:rPr>
      <w:rFonts w:ascii="Tahoma" w:hAnsi="Tahoma" w:cs="Tahoma"/>
      <w:sz w:val="16"/>
      <w:szCs w:val="16"/>
    </w:rPr>
  </w:style>
  <w:style w:type="character" w:customStyle="1" w:styleId="BalloonTextChar">
    <w:name w:val="Balloon Text Char"/>
    <w:link w:val="BalloonText"/>
    <w:rsid w:val="00EB40AB"/>
    <w:rPr>
      <w:rFonts w:ascii="Tahoma" w:hAnsi="Tahoma" w:cs="Tahoma"/>
      <w:sz w:val="16"/>
      <w:szCs w:val="16"/>
    </w:rPr>
  </w:style>
  <w:style w:type="paragraph" w:styleId="FootnoteText">
    <w:name w:val="footnote text"/>
    <w:basedOn w:val="Normal"/>
    <w:link w:val="FootnoteTextChar"/>
    <w:rsid w:val="00F479DA"/>
    <w:rPr>
      <w:sz w:val="20"/>
      <w:szCs w:val="20"/>
    </w:rPr>
  </w:style>
  <w:style w:type="character" w:customStyle="1" w:styleId="FootnoteTextChar">
    <w:name w:val="Footnote Text Char"/>
    <w:basedOn w:val="DefaultParagraphFont"/>
    <w:link w:val="FootnoteText"/>
    <w:rsid w:val="00F479DA"/>
  </w:style>
  <w:style w:type="character" w:styleId="FootnoteReference">
    <w:name w:val="footnote reference"/>
    <w:basedOn w:val="DefaultParagraphFont"/>
    <w:rsid w:val="00F479DA"/>
    <w:rPr>
      <w:vertAlign w:val="superscript"/>
    </w:rPr>
  </w:style>
  <w:style w:type="character" w:styleId="Emphasis">
    <w:name w:val="Emphasis"/>
    <w:basedOn w:val="DefaultParagraphFont"/>
    <w:qFormat/>
    <w:rsid w:val="00671BE0"/>
    <w:rPr>
      <w:i/>
      <w:iCs/>
    </w:rPr>
  </w:style>
  <w:style w:type="character" w:styleId="CommentReference">
    <w:name w:val="annotation reference"/>
    <w:basedOn w:val="DefaultParagraphFont"/>
    <w:rsid w:val="00334197"/>
    <w:rPr>
      <w:sz w:val="16"/>
      <w:szCs w:val="16"/>
    </w:rPr>
  </w:style>
  <w:style w:type="paragraph" w:styleId="CommentText">
    <w:name w:val="annotation text"/>
    <w:basedOn w:val="Normal"/>
    <w:link w:val="CommentTextChar"/>
    <w:rsid w:val="00334197"/>
    <w:rPr>
      <w:sz w:val="20"/>
      <w:szCs w:val="20"/>
    </w:rPr>
  </w:style>
  <w:style w:type="character" w:customStyle="1" w:styleId="CommentTextChar">
    <w:name w:val="Comment Text Char"/>
    <w:basedOn w:val="DefaultParagraphFont"/>
    <w:link w:val="CommentText"/>
    <w:rsid w:val="00334197"/>
  </w:style>
  <w:style w:type="paragraph" w:styleId="CommentSubject">
    <w:name w:val="annotation subject"/>
    <w:basedOn w:val="CommentText"/>
    <w:next w:val="CommentText"/>
    <w:link w:val="CommentSubjectChar"/>
    <w:rsid w:val="00334197"/>
    <w:rPr>
      <w:b/>
      <w:bCs/>
    </w:rPr>
  </w:style>
  <w:style w:type="character" w:customStyle="1" w:styleId="CommentSubjectChar">
    <w:name w:val="Comment Subject Char"/>
    <w:basedOn w:val="CommentTextChar"/>
    <w:link w:val="CommentSubject"/>
    <w:rsid w:val="00334197"/>
    <w:rPr>
      <w:b/>
      <w:bCs/>
    </w:rPr>
  </w:style>
  <w:style w:type="character" w:customStyle="1" w:styleId="Heading1Char">
    <w:name w:val="Heading 1 Char"/>
    <w:basedOn w:val="DefaultParagraphFont"/>
    <w:link w:val="Heading1"/>
    <w:rsid w:val="00CD4B8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892"/>
    <w:rPr>
      <w:sz w:val="24"/>
      <w:szCs w:val="24"/>
    </w:rPr>
  </w:style>
  <w:style w:type="paragraph" w:styleId="Heading1">
    <w:name w:val="heading 1"/>
    <w:basedOn w:val="Normal"/>
    <w:next w:val="Normal"/>
    <w:link w:val="Heading1Char"/>
    <w:qFormat/>
    <w:rsid w:val="00CD4B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E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93E0C"/>
    <w:pPr>
      <w:ind w:left="720"/>
      <w:contextualSpacing/>
    </w:pPr>
  </w:style>
  <w:style w:type="paragraph" w:styleId="NormalWeb">
    <w:name w:val="Normal (Web)"/>
    <w:basedOn w:val="Normal"/>
    <w:uiPriority w:val="99"/>
    <w:unhideWhenUsed/>
    <w:rsid w:val="00092C1F"/>
    <w:pPr>
      <w:spacing w:before="100" w:beforeAutospacing="1" w:after="100" w:afterAutospacing="1"/>
    </w:pPr>
  </w:style>
  <w:style w:type="character" w:styleId="Hyperlink">
    <w:name w:val="Hyperlink"/>
    <w:uiPriority w:val="99"/>
    <w:rsid w:val="002F3E30"/>
    <w:rPr>
      <w:color w:val="0000FF"/>
      <w:u w:val="single"/>
    </w:rPr>
  </w:style>
  <w:style w:type="character" w:styleId="FollowedHyperlink">
    <w:name w:val="FollowedHyperlink"/>
    <w:rsid w:val="00F933D5"/>
    <w:rPr>
      <w:color w:val="800080"/>
      <w:u w:val="single"/>
    </w:rPr>
  </w:style>
  <w:style w:type="paragraph" w:styleId="Header">
    <w:name w:val="header"/>
    <w:basedOn w:val="Normal"/>
    <w:link w:val="HeaderChar"/>
    <w:rsid w:val="004403EA"/>
    <w:pPr>
      <w:tabs>
        <w:tab w:val="center" w:pos="4513"/>
        <w:tab w:val="right" w:pos="9026"/>
      </w:tabs>
    </w:pPr>
  </w:style>
  <w:style w:type="character" w:customStyle="1" w:styleId="HeaderChar">
    <w:name w:val="Header Char"/>
    <w:link w:val="Header"/>
    <w:rsid w:val="004403EA"/>
    <w:rPr>
      <w:sz w:val="24"/>
      <w:szCs w:val="24"/>
    </w:rPr>
  </w:style>
  <w:style w:type="paragraph" w:styleId="Footer">
    <w:name w:val="footer"/>
    <w:basedOn w:val="Normal"/>
    <w:link w:val="FooterChar"/>
    <w:uiPriority w:val="99"/>
    <w:rsid w:val="004403EA"/>
    <w:pPr>
      <w:tabs>
        <w:tab w:val="center" w:pos="4513"/>
        <w:tab w:val="right" w:pos="9026"/>
      </w:tabs>
    </w:pPr>
  </w:style>
  <w:style w:type="character" w:customStyle="1" w:styleId="FooterChar">
    <w:name w:val="Footer Char"/>
    <w:link w:val="Footer"/>
    <w:uiPriority w:val="99"/>
    <w:rsid w:val="004403EA"/>
    <w:rPr>
      <w:sz w:val="24"/>
      <w:szCs w:val="24"/>
    </w:rPr>
  </w:style>
  <w:style w:type="character" w:styleId="Strong">
    <w:name w:val="Strong"/>
    <w:uiPriority w:val="22"/>
    <w:qFormat/>
    <w:rsid w:val="009E6EB2"/>
    <w:rPr>
      <w:b/>
      <w:bCs/>
    </w:rPr>
  </w:style>
  <w:style w:type="paragraph" w:customStyle="1" w:styleId="Default">
    <w:name w:val="Default"/>
    <w:rsid w:val="008F71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B40AB"/>
    <w:rPr>
      <w:rFonts w:ascii="Tahoma" w:hAnsi="Tahoma" w:cs="Tahoma"/>
      <w:sz w:val="16"/>
      <w:szCs w:val="16"/>
    </w:rPr>
  </w:style>
  <w:style w:type="character" w:customStyle="1" w:styleId="BalloonTextChar">
    <w:name w:val="Balloon Text Char"/>
    <w:link w:val="BalloonText"/>
    <w:rsid w:val="00EB40AB"/>
    <w:rPr>
      <w:rFonts w:ascii="Tahoma" w:hAnsi="Tahoma" w:cs="Tahoma"/>
      <w:sz w:val="16"/>
      <w:szCs w:val="16"/>
    </w:rPr>
  </w:style>
  <w:style w:type="paragraph" w:styleId="FootnoteText">
    <w:name w:val="footnote text"/>
    <w:basedOn w:val="Normal"/>
    <w:link w:val="FootnoteTextChar"/>
    <w:rsid w:val="00F479DA"/>
    <w:rPr>
      <w:sz w:val="20"/>
      <w:szCs w:val="20"/>
    </w:rPr>
  </w:style>
  <w:style w:type="character" w:customStyle="1" w:styleId="FootnoteTextChar">
    <w:name w:val="Footnote Text Char"/>
    <w:basedOn w:val="DefaultParagraphFont"/>
    <w:link w:val="FootnoteText"/>
    <w:rsid w:val="00F479DA"/>
  </w:style>
  <w:style w:type="character" w:styleId="FootnoteReference">
    <w:name w:val="footnote reference"/>
    <w:basedOn w:val="DefaultParagraphFont"/>
    <w:rsid w:val="00F479DA"/>
    <w:rPr>
      <w:vertAlign w:val="superscript"/>
    </w:rPr>
  </w:style>
  <w:style w:type="character" w:styleId="Emphasis">
    <w:name w:val="Emphasis"/>
    <w:basedOn w:val="DefaultParagraphFont"/>
    <w:qFormat/>
    <w:rsid w:val="00671BE0"/>
    <w:rPr>
      <w:i/>
      <w:iCs/>
    </w:rPr>
  </w:style>
  <w:style w:type="character" w:styleId="CommentReference">
    <w:name w:val="annotation reference"/>
    <w:basedOn w:val="DefaultParagraphFont"/>
    <w:rsid w:val="00334197"/>
    <w:rPr>
      <w:sz w:val="16"/>
      <w:szCs w:val="16"/>
    </w:rPr>
  </w:style>
  <w:style w:type="paragraph" w:styleId="CommentText">
    <w:name w:val="annotation text"/>
    <w:basedOn w:val="Normal"/>
    <w:link w:val="CommentTextChar"/>
    <w:rsid w:val="00334197"/>
    <w:rPr>
      <w:sz w:val="20"/>
      <w:szCs w:val="20"/>
    </w:rPr>
  </w:style>
  <w:style w:type="character" w:customStyle="1" w:styleId="CommentTextChar">
    <w:name w:val="Comment Text Char"/>
    <w:basedOn w:val="DefaultParagraphFont"/>
    <w:link w:val="CommentText"/>
    <w:rsid w:val="00334197"/>
  </w:style>
  <w:style w:type="paragraph" w:styleId="CommentSubject">
    <w:name w:val="annotation subject"/>
    <w:basedOn w:val="CommentText"/>
    <w:next w:val="CommentText"/>
    <w:link w:val="CommentSubjectChar"/>
    <w:rsid w:val="00334197"/>
    <w:rPr>
      <w:b/>
      <w:bCs/>
    </w:rPr>
  </w:style>
  <w:style w:type="character" w:customStyle="1" w:styleId="CommentSubjectChar">
    <w:name w:val="Comment Subject Char"/>
    <w:basedOn w:val="CommentTextChar"/>
    <w:link w:val="CommentSubject"/>
    <w:rsid w:val="00334197"/>
    <w:rPr>
      <w:b/>
      <w:bCs/>
    </w:rPr>
  </w:style>
  <w:style w:type="character" w:customStyle="1" w:styleId="Heading1Char">
    <w:name w:val="Heading 1 Char"/>
    <w:basedOn w:val="DefaultParagraphFont"/>
    <w:link w:val="Heading1"/>
    <w:rsid w:val="00CD4B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243">
      <w:bodyDiv w:val="1"/>
      <w:marLeft w:val="0"/>
      <w:marRight w:val="0"/>
      <w:marTop w:val="0"/>
      <w:marBottom w:val="0"/>
      <w:divBdr>
        <w:top w:val="none" w:sz="0" w:space="0" w:color="auto"/>
        <w:left w:val="none" w:sz="0" w:space="0" w:color="auto"/>
        <w:bottom w:val="none" w:sz="0" w:space="0" w:color="auto"/>
        <w:right w:val="none" w:sz="0" w:space="0" w:color="auto"/>
      </w:divBdr>
    </w:div>
    <w:div w:id="10962102">
      <w:bodyDiv w:val="1"/>
      <w:marLeft w:val="0"/>
      <w:marRight w:val="0"/>
      <w:marTop w:val="0"/>
      <w:marBottom w:val="0"/>
      <w:divBdr>
        <w:top w:val="none" w:sz="0" w:space="0" w:color="auto"/>
        <w:left w:val="none" w:sz="0" w:space="0" w:color="auto"/>
        <w:bottom w:val="none" w:sz="0" w:space="0" w:color="auto"/>
        <w:right w:val="none" w:sz="0" w:space="0" w:color="auto"/>
      </w:divBdr>
    </w:div>
    <w:div w:id="13851544">
      <w:bodyDiv w:val="1"/>
      <w:marLeft w:val="0"/>
      <w:marRight w:val="0"/>
      <w:marTop w:val="0"/>
      <w:marBottom w:val="0"/>
      <w:divBdr>
        <w:top w:val="none" w:sz="0" w:space="0" w:color="auto"/>
        <w:left w:val="none" w:sz="0" w:space="0" w:color="auto"/>
        <w:bottom w:val="none" w:sz="0" w:space="0" w:color="auto"/>
        <w:right w:val="none" w:sz="0" w:space="0" w:color="auto"/>
      </w:divBdr>
    </w:div>
    <w:div w:id="16541546">
      <w:bodyDiv w:val="1"/>
      <w:marLeft w:val="0"/>
      <w:marRight w:val="0"/>
      <w:marTop w:val="0"/>
      <w:marBottom w:val="0"/>
      <w:divBdr>
        <w:top w:val="none" w:sz="0" w:space="0" w:color="auto"/>
        <w:left w:val="none" w:sz="0" w:space="0" w:color="auto"/>
        <w:bottom w:val="none" w:sz="0" w:space="0" w:color="auto"/>
        <w:right w:val="none" w:sz="0" w:space="0" w:color="auto"/>
      </w:divBdr>
    </w:div>
    <w:div w:id="33428000">
      <w:bodyDiv w:val="1"/>
      <w:marLeft w:val="0"/>
      <w:marRight w:val="0"/>
      <w:marTop w:val="0"/>
      <w:marBottom w:val="0"/>
      <w:divBdr>
        <w:top w:val="none" w:sz="0" w:space="0" w:color="auto"/>
        <w:left w:val="none" w:sz="0" w:space="0" w:color="auto"/>
        <w:bottom w:val="none" w:sz="0" w:space="0" w:color="auto"/>
        <w:right w:val="none" w:sz="0" w:space="0" w:color="auto"/>
      </w:divBdr>
    </w:div>
    <w:div w:id="33845143">
      <w:bodyDiv w:val="1"/>
      <w:marLeft w:val="0"/>
      <w:marRight w:val="0"/>
      <w:marTop w:val="0"/>
      <w:marBottom w:val="0"/>
      <w:divBdr>
        <w:top w:val="none" w:sz="0" w:space="0" w:color="auto"/>
        <w:left w:val="none" w:sz="0" w:space="0" w:color="auto"/>
        <w:bottom w:val="none" w:sz="0" w:space="0" w:color="auto"/>
        <w:right w:val="none" w:sz="0" w:space="0" w:color="auto"/>
      </w:divBdr>
    </w:div>
    <w:div w:id="51655830">
      <w:bodyDiv w:val="1"/>
      <w:marLeft w:val="0"/>
      <w:marRight w:val="0"/>
      <w:marTop w:val="0"/>
      <w:marBottom w:val="0"/>
      <w:divBdr>
        <w:top w:val="none" w:sz="0" w:space="0" w:color="auto"/>
        <w:left w:val="none" w:sz="0" w:space="0" w:color="auto"/>
        <w:bottom w:val="none" w:sz="0" w:space="0" w:color="auto"/>
        <w:right w:val="none" w:sz="0" w:space="0" w:color="auto"/>
      </w:divBdr>
    </w:div>
    <w:div w:id="77792018">
      <w:bodyDiv w:val="1"/>
      <w:marLeft w:val="0"/>
      <w:marRight w:val="0"/>
      <w:marTop w:val="0"/>
      <w:marBottom w:val="0"/>
      <w:divBdr>
        <w:top w:val="none" w:sz="0" w:space="0" w:color="auto"/>
        <w:left w:val="none" w:sz="0" w:space="0" w:color="auto"/>
        <w:bottom w:val="none" w:sz="0" w:space="0" w:color="auto"/>
        <w:right w:val="none" w:sz="0" w:space="0" w:color="auto"/>
      </w:divBdr>
    </w:div>
    <w:div w:id="88502957">
      <w:bodyDiv w:val="1"/>
      <w:marLeft w:val="0"/>
      <w:marRight w:val="0"/>
      <w:marTop w:val="0"/>
      <w:marBottom w:val="0"/>
      <w:divBdr>
        <w:top w:val="none" w:sz="0" w:space="0" w:color="auto"/>
        <w:left w:val="none" w:sz="0" w:space="0" w:color="auto"/>
        <w:bottom w:val="none" w:sz="0" w:space="0" w:color="auto"/>
        <w:right w:val="none" w:sz="0" w:space="0" w:color="auto"/>
      </w:divBdr>
    </w:div>
    <w:div w:id="103157589">
      <w:bodyDiv w:val="1"/>
      <w:marLeft w:val="0"/>
      <w:marRight w:val="0"/>
      <w:marTop w:val="0"/>
      <w:marBottom w:val="0"/>
      <w:divBdr>
        <w:top w:val="none" w:sz="0" w:space="0" w:color="auto"/>
        <w:left w:val="none" w:sz="0" w:space="0" w:color="auto"/>
        <w:bottom w:val="none" w:sz="0" w:space="0" w:color="auto"/>
        <w:right w:val="none" w:sz="0" w:space="0" w:color="auto"/>
      </w:divBdr>
    </w:div>
    <w:div w:id="179635469">
      <w:bodyDiv w:val="1"/>
      <w:marLeft w:val="0"/>
      <w:marRight w:val="0"/>
      <w:marTop w:val="0"/>
      <w:marBottom w:val="0"/>
      <w:divBdr>
        <w:top w:val="none" w:sz="0" w:space="0" w:color="auto"/>
        <w:left w:val="none" w:sz="0" w:space="0" w:color="auto"/>
        <w:bottom w:val="none" w:sz="0" w:space="0" w:color="auto"/>
        <w:right w:val="none" w:sz="0" w:space="0" w:color="auto"/>
      </w:divBdr>
    </w:div>
    <w:div w:id="199129168">
      <w:bodyDiv w:val="1"/>
      <w:marLeft w:val="0"/>
      <w:marRight w:val="0"/>
      <w:marTop w:val="0"/>
      <w:marBottom w:val="0"/>
      <w:divBdr>
        <w:top w:val="none" w:sz="0" w:space="0" w:color="auto"/>
        <w:left w:val="none" w:sz="0" w:space="0" w:color="auto"/>
        <w:bottom w:val="none" w:sz="0" w:space="0" w:color="auto"/>
        <w:right w:val="none" w:sz="0" w:space="0" w:color="auto"/>
      </w:divBdr>
      <w:divsChild>
        <w:div w:id="919173893">
          <w:marLeft w:val="0"/>
          <w:marRight w:val="0"/>
          <w:marTop w:val="0"/>
          <w:marBottom w:val="0"/>
          <w:divBdr>
            <w:top w:val="single" w:sz="6" w:space="0" w:color="3366FF"/>
            <w:left w:val="single" w:sz="6" w:space="0" w:color="3366FF"/>
            <w:bottom w:val="single" w:sz="6" w:space="0" w:color="3366FF"/>
            <w:right w:val="single" w:sz="6" w:space="0" w:color="3366FF"/>
          </w:divBdr>
          <w:divsChild>
            <w:div w:id="893388688">
              <w:marLeft w:val="0"/>
              <w:marRight w:val="0"/>
              <w:marTop w:val="0"/>
              <w:marBottom w:val="0"/>
              <w:divBdr>
                <w:top w:val="none" w:sz="0" w:space="0" w:color="auto"/>
                <w:left w:val="none" w:sz="0" w:space="0" w:color="auto"/>
                <w:bottom w:val="none" w:sz="0" w:space="0" w:color="auto"/>
                <w:right w:val="none" w:sz="0" w:space="0" w:color="auto"/>
              </w:divBdr>
              <w:divsChild>
                <w:div w:id="1584340245">
                  <w:marLeft w:val="0"/>
                  <w:marRight w:val="0"/>
                  <w:marTop w:val="0"/>
                  <w:marBottom w:val="0"/>
                  <w:divBdr>
                    <w:top w:val="none" w:sz="0" w:space="0" w:color="auto"/>
                    <w:left w:val="none" w:sz="0" w:space="0" w:color="auto"/>
                    <w:bottom w:val="none" w:sz="0" w:space="0" w:color="auto"/>
                    <w:right w:val="none" w:sz="0" w:space="0" w:color="auto"/>
                  </w:divBdr>
                  <w:divsChild>
                    <w:div w:id="2020890302">
                      <w:marLeft w:val="0"/>
                      <w:marRight w:val="0"/>
                      <w:marTop w:val="0"/>
                      <w:marBottom w:val="240"/>
                      <w:divBdr>
                        <w:top w:val="none" w:sz="0" w:space="0" w:color="auto"/>
                        <w:left w:val="none" w:sz="0" w:space="0" w:color="auto"/>
                        <w:bottom w:val="none" w:sz="0" w:space="0" w:color="auto"/>
                        <w:right w:val="none" w:sz="0" w:space="0" w:color="auto"/>
                      </w:divBdr>
                      <w:divsChild>
                        <w:div w:id="573592081">
                          <w:marLeft w:val="0"/>
                          <w:marRight w:val="0"/>
                          <w:marTop w:val="0"/>
                          <w:marBottom w:val="0"/>
                          <w:divBdr>
                            <w:top w:val="none" w:sz="0" w:space="0" w:color="auto"/>
                            <w:left w:val="none" w:sz="0" w:space="0" w:color="auto"/>
                            <w:bottom w:val="none" w:sz="0" w:space="0" w:color="auto"/>
                            <w:right w:val="none" w:sz="0" w:space="0" w:color="auto"/>
                          </w:divBdr>
                          <w:divsChild>
                            <w:div w:id="18935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29284">
      <w:bodyDiv w:val="1"/>
      <w:marLeft w:val="0"/>
      <w:marRight w:val="0"/>
      <w:marTop w:val="0"/>
      <w:marBottom w:val="0"/>
      <w:divBdr>
        <w:top w:val="none" w:sz="0" w:space="0" w:color="auto"/>
        <w:left w:val="none" w:sz="0" w:space="0" w:color="auto"/>
        <w:bottom w:val="none" w:sz="0" w:space="0" w:color="auto"/>
        <w:right w:val="none" w:sz="0" w:space="0" w:color="auto"/>
      </w:divBdr>
    </w:div>
    <w:div w:id="309942073">
      <w:bodyDiv w:val="1"/>
      <w:marLeft w:val="0"/>
      <w:marRight w:val="0"/>
      <w:marTop w:val="0"/>
      <w:marBottom w:val="0"/>
      <w:divBdr>
        <w:top w:val="none" w:sz="0" w:space="0" w:color="auto"/>
        <w:left w:val="none" w:sz="0" w:space="0" w:color="auto"/>
        <w:bottom w:val="none" w:sz="0" w:space="0" w:color="auto"/>
        <w:right w:val="none" w:sz="0" w:space="0" w:color="auto"/>
      </w:divBdr>
    </w:div>
    <w:div w:id="340161871">
      <w:bodyDiv w:val="1"/>
      <w:marLeft w:val="0"/>
      <w:marRight w:val="0"/>
      <w:marTop w:val="0"/>
      <w:marBottom w:val="0"/>
      <w:divBdr>
        <w:top w:val="none" w:sz="0" w:space="0" w:color="auto"/>
        <w:left w:val="none" w:sz="0" w:space="0" w:color="auto"/>
        <w:bottom w:val="none" w:sz="0" w:space="0" w:color="auto"/>
        <w:right w:val="none" w:sz="0" w:space="0" w:color="auto"/>
      </w:divBdr>
      <w:divsChild>
        <w:div w:id="1274242869">
          <w:marLeft w:val="0"/>
          <w:marRight w:val="0"/>
          <w:marTop w:val="0"/>
          <w:marBottom w:val="0"/>
          <w:divBdr>
            <w:top w:val="single" w:sz="6" w:space="0" w:color="3366FF"/>
            <w:left w:val="single" w:sz="6" w:space="0" w:color="3366FF"/>
            <w:bottom w:val="single" w:sz="6" w:space="0" w:color="3366FF"/>
            <w:right w:val="single" w:sz="6" w:space="0" w:color="3366FF"/>
          </w:divBdr>
          <w:divsChild>
            <w:div w:id="1352535486">
              <w:marLeft w:val="0"/>
              <w:marRight w:val="0"/>
              <w:marTop w:val="0"/>
              <w:marBottom w:val="0"/>
              <w:divBdr>
                <w:top w:val="none" w:sz="0" w:space="0" w:color="auto"/>
                <w:left w:val="none" w:sz="0" w:space="0" w:color="auto"/>
                <w:bottom w:val="none" w:sz="0" w:space="0" w:color="auto"/>
                <w:right w:val="none" w:sz="0" w:space="0" w:color="auto"/>
              </w:divBdr>
              <w:divsChild>
                <w:div w:id="1208878930">
                  <w:marLeft w:val="0"/>
                  <w:marRight w:val="0"/>
                  <w:marTop w:val="0"/>
                  <w:marBottom w:val="0"/>
                  <w:divBdr>
                    <w:top w:val="none" w:sz="0" w:space="0" w:color="auto"/>
                    <w:left w:val="none" w:sz="0" w:space="0" w:color="auto"/>
                    <w:bottom w:val="none" w:sz="0" w:space="0" w:color="auto"/>
                    <w:right w:val="none" w:sz="0" w:space="0" w:color="auto"/>
                  </w:divBdr>
                  <w:divsChild>
                    <w:div w:id="1171674627">
                      <w:marLeft w:val="0"/>
                      <w:marRight w:val="0"/>
                      <w:marTop w:val="0"/>
                      <w:marBottom w:val="240"/>
                      <w:divBdr>
                        <w:top w:val="none" w:sz="0" w:space="0" w:color="auto"/>
                        <w:left w:val="none" w:sz="0" w:space="0" w:color="auto"/>
                        <w:bottom w:val="none" w:sz="0" w:space="0" w:color="auto"/>
                        <w:right w:val="none" w:sz="0" w:space="0" w:color="auto"/>
                      </w:divBdr>
                      <w:divsChild>
                        <w:div w:id="1784153991">
                          <w:marLeft w:val="0"/>
                          <w:marRight w:val="0"/>
                          <w:marTop w:val="0"/>
                          <w:marBottom w:val="0"/>
                          <w:divBdr>
                            <w:top w:val="none" w:sz="0" w:space="0" w:color="auto"/>
                            <w:left w:val="none" w:sz="0" w:space="0" w:color="auto"/>
                            <w:bottom w:val="none" w:sz="0" w:space="0" w:color="auto"/>
                            <w:right w:val="none" w:sz="0" w:space="0" w:color="auto"/>
                          </w:divBdr>
                          <w:divsChild>
                            <w:div w:id="87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736858">
      <w:bodyDiv w:val="1"/>
      <w:marLeft w:val="0"/>
      <w:marRight w:val="0"/>
      <w:marTop w:val="0"/>
      <w:marBottom w:val="0"/>
      <w:divBdr>
        <w:top w:val="none" w:sz="0" w:space="0" w:color="auto"/>
        <w:left w:val="none" w:sz="0" w:space="0" w:color="auto"/>
        <w:bottom w:val="none" w:sz="0" w:space="0" w:color="auto"/>
        <w:right w:val="none" w:sz="0" w:space="0" w:color="auto"/>
      </w:divBdr>
    </w:div>
    <w:div w:id="359670912">
      <w:bodyDiv w:val="1"/>
      <w:marLeft w:val="0"/>
      <w:marRight w:val="0"/>
      <w:marTop w:val="0"/>
      <w:marBottom w:val="0"/>
      <w:divBdr>
        <w:top w:val="none" w:sz="0" w:space="0" w:color="auto"/>
        <w:left w:val="none" w:sz="0" w:space="0" w:color="auto"/>
        <w:bottom w:val="none" w:sz="0" w:space="0" w:color="auto"/>
        <w:right w:val="none" w:sz="0" w:space="0" w:color="auto"/>
      </w:divBdr>
      <w:divsChild>
        <w:div w:id="732430540">
          <w:marLeft w:val="547"/>
          <w:marRight w:val="0"/>
          <w:marTop w:val="130"/>
          <w:marBottom w:val="0"/>
          <w:divBdr>
            <w:top w:val="none" w:sz="0" w:space="0" w:color="auto"/>
            <w:left w:val="none" w:sz="0" w:space="0" w:color="auto"/>
            <w:bottom w:val="none" w:sz="0" w:space="0" w:color="auto"/>
            <w:right w:val="none" w:sz="0" w:space="0" w:color="auto"/>
          </w:divBdr>
        </w:div>
      </w:divsChild>
    </w:div>
    <w:div w:id="383069685">
      <w:bodyDiv w:val="1"/>
      <w:marLeft w:val="0"/>
      <w:marRight w:val="0"/>
      <w:marTop w:val="0"/>
      <w:marBottom w:val="0"/>
      <w:divBdr>
        <w:top w:val="none" w:sz="0" w:space="0" w:color="auto"/>
        <w:left w:val="none" w:sz="0" w:space="0" w:color="auto"/>
        <w:bottom w:val="none" w:sz="0" w:space="0" w:color="auto"/>
        <w:right w:val="none" w:sz="0" w:space="0" w:color="auto"/>
      </w:divBdr>
    </w:div>
    <w:div w:id="429666996">
      <w:bodyDiv w:val="1"/>
      <w:marLeft w:val="0"/>
      <w:marRight w:val="0"/>
      <w:marTop w:val="0"/>
      <w:marBottom w:val="0"/>
      <w:divBdr>
        <w:top w:val="none" w:sz="0" w:space="0" w:color="auto"/>
        <w:left w:val="none" w:sz="0" w:space="0" w:color="auto"/>
        <w:bottom w:val="none" w:sz="0" w:space="0" w:color="auto"/>
        <w:right w:val="none" w:sz="0" w:space="0" w:color="auto"/>
      </w:divBdr>
    </w:div>
    <w:div w:id="470248940">
      <w:bodyDiv w:val="1"/>
      <w:marLeft w:val="0"/>
      <w:marRight w:val="0"/>
      <w:marTop w:val="0"/>
      <w:marBottom w:val="0"/>
      <w:divBdr>
        <w:top w:val="none" w:sz="0" w:space="0" w:color="auto"/>
        <w:left w:val="none" w:sz="0" w:space="0" w:color="auto"/>
        <w:bottom w:val="none" w:sz="0" w:space="0" w:color="auto"/>
        <w:right w:val="none" w:sz="0" w:space="0" w:color="auto"/>
      </w:divBdr>
    </w:div>
    <w:div w:id="477957424">
      <w:bodyDiv w:val="1"/>
      <w:marLeft w:val="0"/>
      <w:marRight w:val="0"/>
      <w:marTop w:val="0"/>
      <w:marBottom w:val="0"/>
      <w:divBdr>
        <w:top w:val="none" w:sz="0" w:space="0" w:color="auto"/>
        <w:left w:val="none" w:sz="0" w:space="0" w:color="auto"/>
        <w:bottom w:val="none" w:sz="0" w:space="0" w:color="auto"/>
        <w:right w:val="none" w:sz="0" w:space="0" w:color="auto"/>
      </w:divBdr>
    </w:div>
    <w:div w:id="525944785">
      <w:bodyDiv w:val="1"/>
      <w:marLeft w:val="0"/>
      <w:marRight w:val="0"/>
      <w:marTop w:val="0"/>
      <w:marBottom w:val="0"/>
      <w:divBdr>
        <w:top w:val="none" w:sz="0" w:space="0" w:color="auto"/>
        <w:left w:val="none" w:sz="0" w:space="0" w:color="auto"/>
        <w:bottom w:val="none" w:sz="0" w:space="0" w:color="auto"/>
        <w:right w:val="none" w:sz="0" w:space="0" w:color="auto"/>
      </w:divBdr>
    </w:div>
    <w:div w:id="644705415">
      <w:bodyDiv w:val="1"/>
      <w:marLeft w:val="0"/>
      <w:marRight w:val="0"/>
      <w:marTop w:val="0"/>
      <w:marBottom w:val="0"/>
      <w:divBdr>
        <w:top w:val="none" w:sz="0" w:space="0" w:color="auto"/>
        <w:left w:val="none" w:sz="0" w:space="0" w:color="auto"/>
        <w:bottom w:val="none" w:sz="0" w:space="0" w:color="auto"/>
        <w:right w:val="none" w:sz="0" w:space="0" w:color="auto"/>
      </w:divBdr>
    </w:div>
    <w:div w:id="684940055">
      <w:bodyDiv w:val="1"/>
      <w:marLeft w:val="0"/>
      <w:marRight w:val="0"/>
      <w:marTop w:val="0"/>
      <w:marBottom w:val="0"/>
      <w:divBdr>
        <w:top w:val="none" w:sz="0" w:space="0" w:color="auto"/>
        <w:left w:val="none" w:sz="0" w:space="0" w:color="auto"/>
        <w:bottom w:val="none" w:sz="0" w:space="0" w:color="auto"/>
        <w:right w:val="none" w:sz="0" w:space="0" w:color="auto"/>
      </w:divBdr>
    </w:div>
    <w:div w:id="701172157">
      <w:bodyDiv w:val="1"/>
      <w:marLeft w:val="0"/>
      <w:marRight w:val="0"/>
      <w:marTop w:val="0"/>
      <w:marBottom w:val="0"/>
      <w:divBdr>
        <w:top w:val="none" w:sz="0" w:space="0" w:color="auto"/>
        <w:left w:val="none" w:sz="0" w:space="0" w:color="auto"/>
        <w:bottom w:val="none" w:sz="0" w:space="0" w:color="auto"/>
        <w:right w:val="none" w:sz="0" w:space="0" w:color="auto"/>
      </w:divBdr>
    </w:div>
    <w:div w:id="705452342">
      <w:bodyDiv w:val="1"/>
      <w:marLeft w:val="0"/>
      <w:marRight w:val="0"/>
      <w:marTop w:val="0"/>
      <w:marBottom w:val="0"/>
      <w:divBdr>
        <w:top w:val="none" w:sz="0" w:space="0" w:color="auto"/>
        <w:left w:val="none" w:sz="0" w:space="0" w:color="auto"/>
        <w:bottom w:val="none" w:sz="0" w:space="0" w:color="auto"/>
        <w:right w:val="none" w:sz="0" w:space="0" w:color="auto"/>
      </w:divBdr>
    </w:div>
    <w:div w:id="726954527">
      <w:bodyDiv w:val="1"/>
      <w:marLeft w:val="0"/>
      <w:marRight w:val="0"/>
      <w:marTop w:val="0"/>
      <w:marBottom w:val="0"/>
      <w:divBdr>
        <w:top w:val="none" w:sz="0" w:space="0" w:color="auto"/>
        <w:left w:val="none" w:sz="0" w:space="0" w:color="auto"/>
        <w:bottom w:val="none" w:sz="0" w:space="0" w:color="auto"/>
        <w:right w:val="none" w:sz="0" w:space="0" w:color="auto"/>
      </w:divBdr>
    </w:div>
    <w:div w:id="727457141">
      <w:bodyDiv w:val="1"/>
      <w:marLeft w:val="0"/>
      <w:marRight w:val="0"/>
      <w:marTop w:val="0"/>
      <w:marBottom w:val="0"/>
      <w:divBdr>
        <w:top w:val="none" w:sz="0" w:space="0" w:color="auto"/>
        <w:left w:val="none" w:sz="0" w:space="0" w:color="auto"/>
        <w:bottom w:val="none" w:sz="0" w:space="0" w:color="auto"/>
        <w:right w:val="none" w:sz="0" w:space="0" w:color="auto"/>
      </w:divBdr>
      <w:divsChild>
        <w:div w:id="1649701053">
          <w:marLeft w:val="0"/>
          <w:marRight w:val="0"/>
          <w:marTop w:val="0"/>
          <w:marBottom w:val="0"/>
          <w:divBdr>
            <w:top w:val="none" w:sz="0" w:space="0" w:color="auto"/>
            <w:left w:val="none" w:sz="0" w:space="0" w:color="auto"/>
            <w:bottom w:val="none" w:sz="0" w:space="0" w:color="auto"/>
            <w:right w:val="none" w:sz="0" w:space="0" w:color="auto"/>
          </w:divBdr>
          <w:divsChild>
            <w:div w:id="613175194">
              <w:marLeft w:val="0"/>
              <w:marRight w:val="0"/>
              <w:marTop w:val="0"/>
              <w:marBottom w:val="0"/>
              <w:divBdr>
                <w:top w:val="none" w:sz="0" w:space="0" w:color="auto"/>
                <w:left w:val="none" w:sz="0" w:space="0" w:color="auto"/>
                <w:bottom w:val="none" w:sz="0" w:space="0" w:color="auto"/>
                <w:right w:val="single" w:sz="6" w:space="8" w:color="FFFFFF"/>
              </w:divBdr>
              <w:divsChild>
                <w:div w:id="415368637">
                  <w:marLeft w:val="0"/>
                  <w:marRight w:val="0"/>
                  <w:marTop w:val="0"/>
                  <w:marBottom w:val="0"/>
                  <w:divBdr>
                    <w:top w:val="none" w:sz="0" w:space="0" w:color="auto"/>
                    <w:left w:val="none" w:sz="0" w:space="0" w:color="auto"/>
                    <w:bottom w:val="none" w:sz="0" w:space="0" w:color="auto"/>
                    <w:right w:val="none" w:sz="0" w:space="0" w:color="auto"/>
                  </w:divBdr>
                  <w:divsChild>
                    <w:div w:id="958728403">
                      <w:marLeft w:val="0"/>
                      <w:marRight w:val="0"/>
                      <w:marTop w:val="0"/>
                      <w:marBottom w:val="0"/>
                      <w:divBdr>
                        <w:top w:val="none" w:sz="0" w:space="0" w:color="auto"/>
                        <w:left w:val="none" w:sz="0" w:space="0" w:color="auto"/>
                        <w:bottom w:val="none" w:sz="0" w:space="0" w:color="auto"/>
                        <w:right w:val="none" w:sz="0" w:space="0" w:color="auto"/>
                      </w:divBdr>
                      <w:divsChild>
                        <w:div w:id="1614173652">
                          <w:marLeft w:val="0"/>
                          <w:marRight w:val="0"/>
                          <w:marTop w:val="0"/>
                          <w:marBottom w:val="0"/>
                          <w:divBdr>
                            <w:top w:val="none" w:sz="0" w:space="0" w:color="auto"/>
                            <w:left w:val="none" w:sz="0" w:space="0" w:color="auto"/>
                            <w:bottom w:val="none" w:sz="0" w:space="0" w:color="auto"/>
                            <w:right w:val="none" w:sz="0" w:space="0" w:color="auto"/>
                          </w:divBdr>
                          <w:divsChild>
                            <w:div w:id="1701315843">
                              <w:marLeft w:val="0"/>
                              <w:marRight w:val="0"/>
                              <w:marTop w:val="0"/>
                              <w:marBottom w:val="0"/>
                              <w:divBdr>
                                <w:top w:val="none" w:sz="0" w:space="0" w:color="auto"/>
                                <w:left w:val="none" w:sz="0" w:space="0" w:color="auto"/>
                                <w:bottom w:val="none" w:sz="0" w:space="0" w:color="auto"/>
                                <w:right w:val="none" w:sz="0" w:space="0" w:color="auto"/>
                              </w:divBdr>
                              <w:divsChild>
                                <w:div w:id="1073891202">
                                  <w:marLeft w:val="0"/>
                                  <w:marRight w:val="0"/>
                                  <w:marTop w:val="0"/>
                                  <w:marBottom w:val="0"/>
                                  <w:divBdr>
                                    <w:top w:val="none" w:sz="0" w:space="0" w:color="auto"/>
                                    <w:left w:val="none" w:sz="0" w:space="0" w:color="auto"/>
                                    <w:bottom w:val="none" w:sz="0" w:space="0" w:color="auto"/>
                                    <w:right w:val="none" w:sz="0" w:space="0" w:color="auto"/>
                                  </w:divBdr>
                                  <w:divsChild>
                                    <w:div w:id="1090783681">
                                      <w:marLeft w:val="0"/>
                                      <w:marRight w:val="0"/>
                                      <w:marTop w:val="0"/>
                                      <w:marBottom w:val="0"/>
                                      <w:divBdr>
                                        <w:top w:val="none" w:sz="0" w:space="0" w:color="auto"/>
                                        <w:left w:val="none" w:sz="0" w:space="0" w:color="auto"/>
                                        <w:bottom w:val="none" w:sz="0" w:space="0" w:color="auto"/>
                                        <w:right w:val="none" w:sz="0" w:space="0" w:color="auto"/>
                                      </w:divBdr>
                                      <w:divsChild>
                                        <w:div w:id="1419406028">
                                          <w:marLeft w:val="0"/>
                                          <w:marRight w:val="0"/>
                                          <w:marTop w:val="0"/>
                                          <w:marBottom w:val="0"/>
                                          <w:divBdr>
                                            <w:top w:val="dashed" w:sz="6" w:space="8" w:color="CCCCCC"/>
                                            <w:left w:val="none" w:sz="0" w:space="0" w:color="auto"/>
                                            <w:bottom w:val="none" w:sz="0" w:space="0" w:color="auto"/>
                                            <w:right w:val="none" w:sz="0" w:space="0" w:color="auto"/>
                                          </w:divBdr>
                                          <w:divsChild>
                                            <w:div w:id="626859085">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771095">
      <w:bodyDiv w:val="1"/>
      <w:marLeft w:val="0"/>
      <w:marRight w:val="0"/>
      <w:marTop w:val="0"/>
      <w:marBottom w:val="0"/>
      <w:divBdr>
        <w:top w:val="none" w:sz="0" w:space="0" w:color="auto"/>
        <w:left w:val="none" w:sz="0" w:space="0" w:color="auto"/>
        <w:bottom w:val="none" w:sz="0" w:space="0" w:color="auto"/>
        <w:right w:val="none" w:sz="0" w:space="0" w:color="auto"/>
      </w:divBdr>
    </w:div>
    <w:div w:id="773553483">
      <w:bodyDiv w:val="1"/>
      <w:marLeft w:val="0"/>
      <w:marRight w:val="0"/>
      <w:marTop w:val="0"/>
      <w:marBottom w:val="0"/>
      <w:divBdr>
        <w:top w:val="none" w:sz="0" w:space="0" w:color="auto"/>
        <w:left w:val="none" w:sz="0" w:space="0" w:color="auto"/>
        <w:bottom w:val="none" w:sz="0" w:space="0" w:color="auto"/>
        <w:right w:val="none" w:sz="0" w:space="0" w:color="auto"/>
      </w:divBdr>
    </w:div>
    <w:div w:id="796139170">
      <w:bodyDiv w:val="1"/>
      <w:marLeft w:val="0"/>
      <w:marRight w:val="0"/>
      <w:marTop w:val="0"/>
      <w:marBottom w:val="0"/>
      <w:divBdr>
        <w:top w:val="none" w:sz="0" w:space="0" w:color="auto"/>
        <w:left w:val="none" w:sz="0" w:space="0" w:color="auto"/>
        <w:bottom w:val="none" w:sz="0" w:space="0" w:color="auto"/>
        <w:right w:val="none" w:sz="0" w:space="0" w:color="auto"/>
      </w:divBdr>
    </w:div>
    <w:div w:id="797843715">
      <w:bodyDiv w:val="1"/>
      <w:marLeft w:val="0"/>
      <w:marRight w:val="0"/>
      <w:marTop w:val="0"/>
      <w:marBottom w:val="0"/>
      <w:divBdr>
        <w:top w:val="none" w:sz="0" w:space="0" w:color="auto"/>
        <w:left w:val="none" w:sz="0" w:space="0" w:color="auto"/>
        <w:bottom w:val="none" w:sz="0" w:space="0" w:color="auto"/>
        <w:right w:val="none" w:sz="0" w:space="0" w:color="auto"/>
      </w:divBdr>
    </w:div>
    <w:div w:id="871116738">
      <w:bodyDiv w:val="1"/>
      <w:marLeft w:val="0"/>
      <w:marRight w:val="0"/>
      <w:marTop w:val="0"/>
      <w:marBottom w:val="0"/>
      <w:divBdr>
        <w:top w:val="none" w:sz="0" w:space="0" w:color="auto"/>
        <w:left w:val="none" w:sz="0" w:space="0" w:color="auto"/>
        <w:bottom w:val="none" w:sz="0" w:space="0" w:color="auto"/>
        <w:right w:val="none" w:sz="0" w:space="0" w:color="auto"/>
      </w:divBdr>
    </w:div>
    <w:div w:id="876506778">
      <w:bodyDiv w:val="1"/>
      <w:marLeft w:val="0"/>
      <w:marRight w:val="0"/>
      <w:marTop w:val="0"/>
      <w:marBottom w:val="0"/>
      <w:divBdr>
        <w:top w:val="none" w:sz="0" w:space="0" w:color="auto"/>
        <w:left w:val="none" w:sz="0" w:space="0" w:color="auto"/>
        <w:bottom w:val="none" w:sz="0" w:space="0" w:color="auto"/>
        <w:right w:val="none" w:sz="0" w:space="0" w:color="auto"/>
      </w:divBdr>
    </w:div>
    <w:div w:id="1052845489">
      <w:bodyDiv w:val="1"/>
      <w:marLeft w:val="0"/>
      <w:marRight w:val="0"/>
      <w:marTop w:val="0"/>
      <w:marBottom w:val="0"/>
      <w:divBdr>
        <w:top w:val="none" w:sz="0" w:space="0" w:color="auto"/>
        <w:left w:val="none" w:sz="0" w:space="0" w:color="auto"/>
        <w:bottom w:val="none" w:sz="0" w:space="0" w:color="auto"/>
        <w:right w:val="none" w:sz="0" w:space="0" w:color="auto"/>
      </w:divBdr>
    </w:div>
    <w:div w:id="1092974824">
      <w:bodyDiv w:val="1"/>
      <w:marLeft w:val="0"/>
      <w:marRight w:val="0"/>
      <w:marTop w:val="0"/>
      <w:marBottom w:val="0"/>
      <w:divBdr>
        <w:top w:val="none" w:sz="0" w:space="0" w:color="auto"/>
        <w:left w:val="none" w:sz="0" w:space="0" w:color="auto"/>
        <w:bottom w:val="none" w:sz="0" w:space="0" w:color="auto"/>
        <w:right w:val="none" w:sz="0" w:space="0" w:color="auto"/>
      </w:divBdr>
    </w:div>
    <w:div w:id="1137994330">
      <w:bodyDiv w:val="1"/>
      <w:marLeft w:val="0"/>
      <w:marRight w:val="0"/>
      <w:marTop w:val="0"/>
      <w:marBottom w:val="0"/>
      <w:divBdr>
        <w:top w:val="none" w:sz="0" w:space="0" w:color="auto"/>
        <w:left w:val="none" w:sz="0" w:space="0" w:color="auto"/>
        <w:bottom w:val="none" w:sz="0" w:space="0" w:color="auto"/>
        <w:right w:val="none" w:sz="0" w:space="0" w:color="auto"/>
      </w:divBdr>
    </w:div>
    <w:div w:id="1184710232">
      <w:bodyDiv w:val="1"/>
      <w:marLeft w:val="0"/>
      <w:marRight w:val="0"/>
      <w:marTop w:val="0"/>
      <w:marBottom w:val="0"/>
      <w:divBdr>
        <w:top w:val="none" w:sz="0" w:space="0" w:color="auto"/>
        <w:left w:val="none" w:sz="0" w:space="0" w:color="auto"/>
        <w:bottom w:val="none" w:sz="0" w:space="0" w:color="auto"/>
        <w:right w:val="none" w:sz="0" w:space="0" w:color="auto"/>
      </w:divBdr>
    </w:div>
    <w:div w:id="1224675293">
      <w:bodyDiv w:val="1"/>
      <w:marLeft w:val="0"/>
      <w:marRight w:val="0"/>
      <w:marTop w:val="0"/>
      <w:marBottom w:val="0"/>
      <w:divBdr>
        <w:top w:val="none" w:sz="0" w:space="0" w:color="auto"/>
        <w:left w:val="none" w:sz="0" w:space="0" w:color="auto"/>
        <w:bottom w:val="none" w:sz="0" w:space="0" w:color="auto"/>
        <w:right w:val="none" w:sz="0" w:space="0" w:color="auto"/>
      </w:divBdr>
    </w:div>
    <w:div w:id="1275550364">
      <w:bodyDiv w:val="1"/>
      <w:marLeft w:val="0"/>
      <w:marRight w:val="0"/>
      <w:marTop w:val="0"/>
      <w:marBottom w:val="0"/>
      <w:divBdr>
        <w:top w:val="none" w:sz="0" w:space="0" w:color="auto"/>
        <w:left w:val="none" w:sz="0" w:space="0" w:color="auto"/>
        <w:bottom w:val="none" w:sz="0" w:space="0" w:color="auto"/>
        <w:right w:val="none" w:sz="0" w:space="0" w:color="auto"/>
      </w:divBdr>
    </w:div>
    <w:div w:id="1276017115">
      <w:bodyDiv w:val="1"/>
      <w:marLeft w:val="0"/>
      <w:marRight w:val="0"/>
      <w:marTop w:val="0"/>
      <w:marBottom w:val="0"/>
      <w:divBdr>
        <w:top w:val="none" w:sz="0" w:space="0" w:color="auto"/>
        <w:left w:val="none" w:sz="0" w:space="0" w:color="auto"/>
        <w:bottom w:val="none" w:sz="0" w:space="0" w:color="auto"/>
        <w:right w:val="none" w:sz="0" w:space="0" w:color="auto"/>
      </w:divBdr>
    </w:div>
    <w:div w:id="1340622178">
      <w:bodyDiv w:val="1"/>
      <w:marLeft w:val="0"/>
      <w:marRight w:val="0"/>
      <w:marTop w:val="0"/>
      <w:marBottom w:val="0"/>
      <w:divBdr>
        <w:top w:val="none" w:sz="0" w:space="0" w:color="auto"/>
        <w:left w:val="none" w:sz="0" w:space="0" w:color="auto"/>
        <w:bottom w:val="none" w:sz="0" w:space="0" w:color="auto"/>
        <w:right w:val="none" w:sz="0" w:space="0" w:color="auto"/>
      </w:divBdr>
    </w:div>
    <w:div w:id="1380980513">
      <w:bodyDiv w:val="1"/>
      <w:marLeft w:val="0"/>
      <w:marRight w:val="0"/>
      <w:marTop w:val="0"/>
      <w:marBottom w:val="0"/>
      <w:divBdr>
        <w:top w:val="none" w:sz="0" w:space="0" w:color="auto"/>
        <w:left w:val="none" w:sz="0" w:space="0" w:color="auto"/>
        <w:bottom w:val="none" w:sz="0" w:space="0" w:color="auto"/>
        <w:right w:val="none" w:sz="0" w:space="0" w:color="auto"/>
      </w:divBdr>
    </w:div>
    <w:div w:id="1524131359">
      <w:bodyDiv w:val="1"/>
      <w:marLeft w:val="0"/>
      <w:marRight w:val="0"/>
      <w:marTop w:val="0"/>
      <w:marBottom w:val="0"/>
      <w:divBdr>
        <w:top w:val="none" w:sz="0" w:space="0" w:color="auto"/>
        <w:left w:val="none" w:sz="0" w:space="0" w:color="auto"/>
        <w:bottom w:val="none" w:sz="0" w:space="0" w:color="auto"/>
        <w:right w:val="none" w:sz="0" w:space="0" w:color="auto"/>
      </w:divBdr>
    </w:div>
    <w:div w:id="1656645865">
      <w:bodyDiv w:val="1"/>
      <w:marLeft w:val="0"/>
      <w:marRight w:val="0"/>
      <w:marTop w:val="0"/>
      <w:marBottom w:val="0"/>
      <w:divBdr>
        <w:top w:val="none" w:sz="0" w:space="0" w:color="auto"/>
        <w:left w:val="none" w:sz="0" w:space="0" w:color="auto"/>
        <w:bottom w:val="none" w:sz="0" w:space="0" w:color="auto"/>
        <w:right w:val="none" w:sz="0" w:space="0" w:color="auto"/>
      </w:divBdr>
    </w:div>
    <w:div w:id="1785809781">
      <w:bodyDiv w:val="1"/>
      <w:marLeft w:val="0"/>
      <w:marRight w:val="0"/>
      <w:marTop w:val="0"/>
      <w:marBottom w:val="0"/>
      <w:divBdr>
        <w:top w:val="none" w:sz="0" w:space="0" w:color="auto"/>
        <w:left w:val="none" w:sz="0" w:space="0" w:color="auto"/>
        <w:bottom w:val="none" w:sz="0" w:space="0" w:color="auto"/>
        <w:right w:val="none" w:sz="0" w:space="0" w:color="auto"/>
      </w:divBdr>
    </w:div>
    <w:div w:id="1790733346">
      <w:bodyDiv w:val="1"/>
      <w:marLeft w:val="0"/>
      <w:marRight w:val="0"/>
      <w:marTop w:val="0"/>
      <w:marBottom w:val="0"/>
      <w:divBdr>
        <w:top w:val="none" w:sz="0" w:space="0" w:color="auto"/>
        <w:left w:val="none" w:sz="0" w:space="0" w:color="auto"/>
        <w:bottom w:val="none" w:sz="0" w:space="0" w:color="auto"/>
        <w:right w:val="none" w:sz="0" w:space="0" w:color="auto"/>
      </w:divBdr>
    </w:div>
    <w:div w:id="1817146207">
      <w:bodyDiv w:val="1"/>
      <w:marLeft w:val="0"/>
      <w:marRight w:val="0"/>
      <w:marTop w:val="0"/>
      <w:marBottom w:val="0"/>
      <w:divBdr>
        <w:top w:val="none" w:sz="0" w:space="0" w:color="auto"/>
        <w:left w:val="none" w:sz="0" w:space="0" w:color="auto"/>
        <w:bottom w:val="none" w:sz="0" w:space="0" w:color="auto"/>
        <w:right w:val="none" w:sz="0" w:space="0" w:color="auto"/>
      </w:divBdr>
    </w:div>
    <w:div w:id="1827554897">
      <w:bodyDiv w:val="1"/>
      <w:marLeft w:val="0"/>
      <w:marRight w:val="0"/>
      <w:marTop w:val="0"/>
      <w:marBottom w:val="0"/>
      <w:divBdr>
        <w:top w:val="none" w:sz="0" w:space="0" w:color="auto"/>
        <w:left w:val="none" w:sz="0" w:space="0" w:color="auto"/>
        <w:bottom w:val="none" w:sz="0" w:space="0" w:color="auto"/>
        <w:right w:val="none" w:sz="0" w:space="0" w:color="auto"/>
      </w:divBdr>
    </w:div>
    <w:div w:id="1936553354">
      <w:bodyDiv w:val="1"/>
      <w:marLeft w:val="0"/>
      <w:marRight w:val="0"/>
      <w:marTop w:val="0"/>
      <w:marBottom w:val="0"/>
      <w:divBdr>
        <w:top w:val="none" w:sz="0" w:space="0" w:color="auto"/>
        <w:left w:val="none" w:sz="0" w:space="0" w:color="auto"/>
        <w:bottom w:val="none" w:sz="0" w:space="0" w:color="auto"/>
        <w:right w:val="none" w:sz="0" w:space="0" w:color="auto"/>
      </w:divBdr>
    </w:div>
    <w:div w:id="1981810618">
      <w:bodyDiv w:val="1"/>
      <w:marLeft w:val="0"/>
      <w:marRight w:val="0"/>
      <w:marTop w:val="0"/>
      <w:marBottom w:val="0"/>
      <w:divBdr>
        <w:top w:val="none" w:sz="0" w:space="0" w:color="auto"/>
        <w:left w:val="none" w:sz="0" w:space="0" w:color="auto"/>
        <w:bottom w:val="none" w:sz="0" w:space="0" w:color="auto"/>
        <w:right w:val="none" w:sz="0" w:space="0" w:color="auto"/>
      </w:divBdr>
    </w:div>
    <w:div w:id="20058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lsi.org.uk/__data/assets/file/0010/67699/2017-18-Special-School-Budget-Templates.zip" TargetMode="External"/><Relationship Id="rId18" Type="http://schemas.openxmlformats.org/officeDocument/2006/relationships/hyperlink" Target="mailto:shane.jermy@kent.gov.uk" TargetMode="External"/><Relationship Id="rId26" Type="http://schemas.openxmlformats.org/officeDocument/2006/relationships/hyperlink" Target="https://www.gov.uk/government/publications/universal-infant-free-school-meals-uifsm-funding-allocations-2016-to-2017/universal-infant-free-school-meals-uifsm-conditions-of-grant-2016-to-201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irtualschool.lea.kent.sch.uk/" TargetMode="External"/><Relationship Id="rId34" Type="http://schemas.openxmlformats.org/officeDocument/2006/relationships/hyperlink" Target="http://www.kelsi.org.uk/__data/assets/word_doc/0007/67570/2017-18-Special-Schools-Budget-Template-Guidance.docx" TargetMode="External"/><Relationship Id="rId7" Type="http://schemas.openxmlformats.org/officeDocument/2006/relationships/footnotes" Target="footnotes.xml"/><Relationship Id="rId12" Type="http://schemas.openxmlformats.org/officeDocument/2006/relationships/hyperlink" Target="http://www.kelsi.org.uk/__data/assets/file/0008/67697/2017-18-School-Budget-Templates.zip" TargetMode="External"/><Relationship Id="rId17" Type="http://schemas.openxmlformats.org/officeDocument/2006/relationships/hyperlink" Target="mailto:nathan.page@kent.gov.uk" TargetMode="External"/><Relationship Id="rId25" Type="http://schemas.openxmlformats.org/officeDocument/2006/relationships/hyperlink" Target="https://www.gov.uk/government/publications/pupil-premium-conditions-of-grant-2017-to-2018/pupil-premium-conditions-of-grant-2017-to-2018" TargetMode="External"/><Relationship Id="rId33" Type="http://schemas.openxmlformats.org/officeDocument/2006/relationships/hyperlink" Target="http://www.kelsi.org.uk/__data/assets/file/0010/67699/2017-18-Special-School-Budget-Templates.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elsi.org.uk/news-and-events/patrick-leesons-update/10-january-2017-weekly-update" TargetMode="External"/><Relationship Id="rId20" Type="http://schemas.openxmlformats.org/officeDocument/2006/relationships/hyperlink" Target="mailto:ruth.giles@kent.gov.uk" TargetMode="External"/><Relationship Id="rId29" Type="http://schemas.openxmlformats.org/officeDocument/2006/relationships/hyperlink" Target="http://www.kelsi.org.uk/__data/assets/word_doc/0005/67694/Primary-and-Secondary-Schools-Funding-Guidance-2017-18.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lsi.org.uk/__data/assets/word_doc/0005/67694/Primary-and-Secondary-Schools-Funding-Guidance-2017-18.docx" TargetMode="External"/><Relationship Id="rId24" Type="http://schemas.openxmlformats.org/officeDocument/2006/relationships/hyperlink" Target="mailto:malcolm.thomas@kent.gov.uk" TargetMode="External"/><Relationship Id="rId32" Type="http://schemas.openxmlformats.org/officeDocument/2006/relationships/hyperlink" Target="http://www.kelsi.org.uk/__data/assets/word_doc/0004/67693/Special-Schools-Funding-Formula-Guidance-2017-18.docx"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kelsi.org.uk/news-and-events/patrick-leesons-update/24-january-2017-weekly-update" TargetMode="External"/><Relationship Id="rId23" Type="http://schemas.openxmlformats.org/officeDocument/2006/relationships/hyperlink" Target="mailto:marian.smith@kent.gov.uk" TargetMode="External"/><Relationship Id="rId28" Type="http://schemas.openxmlformats.org/officeDocument/2006/relationships/hyperlink" Target="https://www.gov.uk/guidance/pe-and-sport-premium-for-primary-schools" TargetMode="External"/><Relationship Id="rId36" Type="http://schemas.openxmlformats.org/officeDocument/2006/relationships/hyperlink" Target="http://www.kelsi.org.uk/special-education-needs/special-educational-needs/high-needs-funding-for-schools" TargetMode="External"/><Relationship Id="rId10" Type="http://schemas.openxmlformats.org/officeDocument/2006/relationships/hyperlink" Target="http://www.kelsi.org.uk/__data/assets/word_doc/0007/67570/2017-18-Special-Schools-Budget-Template-Guidance.docx" TargetMode="External"/><Relationship Id="rId19" Type="http://schemas.openxmlformats.org/officeDocument/2006/relationships/hyperlink" Target="http://www.kelsi.org.uk/__data/assets/excel_doc/0006/67632/Devolved-Formula-Capital-2017-18.xlsx" TargetMode="External"/><Relationship Id="rId31" Type="http://schemas.openxmlformats.org/officeDocument/2006/relationships/hyperlink" Target="http://www.kelsi.org.uk/__data/assets/file/0008/67697/2017-18-School-Budget-Templates.zip" TargetMode="External"/><Relationship Id="rId4" Type="http://schemas.microsoft.com/office/2007/relationships/stylesWithEffects" Target="stylesWithEffects.xml"/><Relationship Id="rId9" Type="http://schemas.openxmlformats.org/officeDocument/2006/relationships/hyperlink" Target="http://www.kelsi.org.uk/__data/assets/word_doc/0006/67569/2017-18-Mainstream-School-Budget-Template-Guidance.docx" TargetMode="External"/><Relationship Id="rId14" Type="http://schemas.openxmlformats.org/officeDocument/2006/relationships/hyperlink" Target="http://www.kelsi.org.uk/__data/assets/excel_doc/0006/67632/Devolved-Formula-Capital-2017-18.xlsx" TargetMode="External"/><Relationship Id="rId22" Type="http://schemas.openxmlformats.org/officeDocument/2006/relationships/hyperlink" Target="mailto:ann.parnell@kent.gov.uk" TargetMode="External"/><Relationship Id="rId27" Type="http://schemas.openxmlformats.org/officeDocument/2006/relationships/hyperlink" Target="http://www.kelsi.org.uk/__data/assets/pdf_file/0018/64332/Primary_PE_and_Sports_allocations_2016-17_KELSI.pdf" TargetMode="External"/><Relationship Id="rId30" Type="http://schemas.openxmlformats.org/officeDocument/2006/relationships/hyperlink" Target="http://www.kelsi.org.uk/__data/assets/word_doc/0011/67637/Kent-Growth-Policy-2017-18.docx" TargetMode="External"/><Relationship Id="rId35" Type="http://schemas.openxmlformats.org/officeDocument/2006/relationships/hyperlink" Target="http://www.kelsi.org.uk/__data/assets/file/0009/67698/2017-18-Special-Rates-Template.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9AE9E-690E-4F95-97D4-011875E5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818E270B</Template>
  <TotalTime>98</TotalTime>
  <Pages>15</Pages>
  <Words>5632</Words>
  <Characters>32017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37574</CharactersWithSpaces>
  <SharedDoc>false</SharedDoc>
  <HLinks>
    <vt:vector size="186" baseType="variant">
      <vt:variant>
        <vt:i4>8257559</vt:i4>
      </vt:variant>
      <vt:variant>
        <vt:i4>90</vt:i4>
      </vt:variant>
      <vt:variant>
        <vt:i4>0</vt:i4>
      </vt:variant>
      <vt:variant>
        <vt:i4>5</vt:i4>
      </vt:variant>
      <vt:variant>
        <vt:lpwstr>http://www.kenttrustweb.org.uk/userfiles/CW/file/Budget_Book/Budget Book 2013-14/Special School Budget Book.docx</vt:lpwstr>
      </vt:variant>
      <vt:variant>
        <vt:lpwstr/>
      </vt:variant>
      <vt:variant>
        <vt:i4>2555931</vt:i4>
      </vt:variant>
      <vt:variant>
        <vt:i4>87</vt:i4>
      </vt:variant>
      <vt:variant>
        <vt:i4>0</vt:i4>
      </vt:variant>
      <vt:variant>
        <vt:i4>5</vt:i4>
      </vt:variant>
      <vt:variant>
        <vt:lpwstr>http://www.kenttrustweb.org.uk/userfiles/CW/file/Budget_Book/Budget Book 2013-14/DBB_Primary_and_Secondary_Schools 13-14.doc</vt:lpwstr>
      </vt:variant>
      <vt:variant>
        <vt:lpwstr/>
      </vt:variant>
      <vt:variant>
        <vt:i4>2555931</vt:i4>
      </vt:variant>
      <vt:variant>
        <vt:i4>84</vt:i4>
      </vt:variant>
      <vt:variant>
        <vt:i4>0</vt:i4>
      </vt:variant>
      <vt:variant>
        <vt:i4>5</vt:i4>
      </vt:variant>
      <vt:variant>
        <vt:lpwstr>http://www.kenttrustweb.org.uk/userfiles/CW/file/Budget_Book/Budget Book 2013-14/DBB_Primary_and_Secondary_Schools 13-14.doc</vt:lpwstr>
      </vt:variant>
      <vt:variant>
        <vt:lpwstr/>
      </vt:variant>
      <vt:variant>
        <vt:i4>5570561</vt:i4>
      </vt:variant>
      <vt:variant>
        <vt:i4>81</vt:i4>
      </vt:variant>
      <vt:variant>
        <vt:i4>0</vt:i4>
      </vt:variant>
      <vt:variant>
        <vt:i4>5</vt:i4>
      </vt:variant>
      <vt:variant>
        <vt:lpwstr>http://www.kenttrustweb.org.uk/Finance-Assessment/cfe_fin_schbudgets08-09.cfm</vt:lpwstr>
      </vt:variant>
      <vt:variant>
        <vt:lpwstr/>
      </vt:variant>
      <vt:variant>
        <vt:i4>2555931</vt:i4>
      </vt:variant>
      <vt:variant>
        <vt:i4>78</vt:i4>
      </vt:variant>
      <vt:variant>
        <vt:i4>0</vt:i4>
      </vt:variant>
      <vt:variant>
        <vt:i4>5</vt:i4>
      </vt:variant>
      <vt:variant>
        <vt:lpwstr>http://www.kenttrustweb.org.uk/userfiles/CW/file/Budget_Book/Budget Book 2013-14/DBB_Primary_and_Secondary_Schools 13-14.doc</vt:lpwstr>
      </vt:variant>
      <vt:variant>
        <vt:lpwstr/>
      </vt:variant>
      <vt:variant>
        <vt:i4>3604481</vt:i4>
      </vt:variant>
      <vt:variant>
        <vt:i4>75</vt:i4>
      </vt:variant>
      <vt:variant>
        <vt:i4>0</vt:i4>
      </vt:variant>
      <vt:variant>
        <vt:i4>5</vt:i4>
      </vt:variant>
      <vt:variant>
        <vt:lpwstr>http://www.kenttrustweb.org.uk/userfiles/CW/file/Budget_Book/Budget Book 2013-14/Attachment_15_Criteria for Growth Funding .doc</vt:lpwstr>
      </vt:variant>
      <vt:variant>
        <vt:lpwstr/>
      </vt:variant>
      <vt:variant>
        <vt:i4>7667755</vt:i4>
      </vt:variant>
      <vt:variant>
        <vt:i4>72</vt:i4>
      </vt:variant>
      <vt:variant>
        <vt:i4>0</vt:i4>
      </vt:variant>
      <vt:variant>
        <vt:i4>5</vt:i4>
      </vt:variant>
      <vt:variant>
        <vt:lpwstr>http://www.kelsi.org.uk/school_management/schools_financial_services/schools_funding_forum/schools_funding_forum_meetings.aspx</vt:lpwstr>
      </vt:variant>
      <vt:variant>
        <vt:lpwstr/>
      </vt:variant>
      <vt:variant>
        <vt:i4>7667755</vt:i4>
      </vt:variant>
      <vt:variant>
        <vt:i4>69</vt:i4>
      </vt:variant>
      <vt:variant>
        <vt:i4>0</vt:i4>
      </vt:variant>
      <vt:variant>
        <vt:i4>5</vt:i4>
      </vt:variant>
      <vt:variant>
        <vt:lpwstr>http://www.kelsi.org.uk/school_management/schools_financial_services/schools_funding_forum/schools_funding_forum_meetings.aspx</vt:lpwstr>
      </vt:variant>
      <vt:variant>
        <vt:lpwstr/>
      </vt:variant>
      <vt:variant>
        <vt:i4>3014721</vt:i4>
      </vt:variant>
      <vt:variant>
        <vt:i4>66</vt:i4>
      </vt:variant>
      <vt:variant>
        <vt:i4>0</vt:i4>
      </vt:variant>
      <vt:variant>
        <vt:i4>5</vt:i4>
      </vt:variant>
      <vt:variant>
        <vt:lpwstr>mailto:floservice@kent.gov.uk</vt:lpwstr>
      </vt:variant>
      <vt:variant>
        <vt:lpwstr/>
      </vt:variant>
      <vt:variant>
        <vt:i4>2162754</vt:i4>
      </vt:variant>
      <vt:variant>
        <vt:i4>63</vt:i4>
      </vt:variant>
      <vt:variant>
        <vt:i4>0</vt:i4>
      </vt:variant>
      <vt:variant>
        <vt:i4>5</vt:i4>
      </vt:variant>
      <vt:variant>
        <vt:lpwstr>http://www.kelsi.org.uk/pupil_support_and_wellbeing/targeted_support/family_liaison_officers/monitoring_and_finance_report.aspx</vt:lpwstr>
      </vt:variant>
      <vt:variant>
        <vt:lpwstr/>
      </vt:variant>
      <vt:variant>
        <vt:i4>7995447</vt:i4>
      </vt:variant>
      <vt:variant>
        <vt:i4>60</vt:i4>
      </vt:variant>
      <vt:variant>
        <vt:i4>0</vt:i4>
      </vt:variant>
      <vt:variant>
        <vt:i4>5</vt:i4>
      </vt:variant>
      <vt:variant>
        <vt:lpwstr>http://www.kelsi.org.uk/pupil_support_and_wellbeing/targeted_support/family_liaison_officers/flo_funding_information.aspx</vt:lpwstr>
      </vt:variant>
      <vt:variant>
        <vt:lpwstr/>
      </vt:variant>
      <vt:variant>
        <vt:i4>983078</vt:i4>
      </vt:variant>
      <vt:variant>
        <vt:i4>57</vt:i4>
      </vt:variant>
      <vt:variant>
        <vt:i4>0</vt:i4>
      </vt:variant>
      <vt:variant>
        <vt:i4>5</vt:i4>
      </vt:variant>
      <vt:variant>
        <vt:lpwstr>blocked::mailto:shane.jermy@kent.gov.uk</vt:lpwstr>
      </vt:variant>
      <vt:variant>
        <vt:lpwstr/>
      </vt:variant>
      <vt:variant>
        <vt:i4>8323185</vt:i4>
      </vt:variant>
      <vt:variant>
        <vt:i4>54</vt:i4>
      </vt:variant>
      <vt:variant>
        <vt:i4>0</vt:i4>
      </vt:variant>
      <vt:variant>
        <vt:i4>5</vt:i4>
      </vt:variant>
      <vt:variant>
        <vt:lpwstr/>
      </vt:variant>
      <vt:variant>
        <vt:lpwstr>SectionEFD</vt:lpwstr>
      </vt:variant>
      <vt:variant>
        <vt:i4>7209080</vt:i4>
      </vt:variant>
      <vt:variant>
        <vt:i4>51</vt:i4>
      </vt:variant>
      <vt:variant>
        <vt:i4>0</vt:i4>
      </vt:variant>
      <vt:variant>
        <vt:i4>5</vt:i4>
      </vt:variant>
      <vt:variant>
        <vt:lpwstr/>
      </vt:variant>
      <vt:variant>
        <vt:lpwstr>SectionEOut</vt:lpwstr>
      </vt:variant>
      <vt:variant>
        <vt:i4>1966091</vt:i4>
      </vt:variant>
      <vt:variant>
        <vt:i4>48</vt:i4>
      </vt:variant>
      <vt:variant>
        <vt:i4>0</vt:i4>
      </vt:variant>
      <vt:variant>
        <vt:i4>5</vt:i4>
      </vt:variant>
      <vt:variant>
        <vt:lpwstr/>
      </vt:variant>
      <vt:variant>
        <vt:lpwstr>SectionEPPlus</vt:lpwstr>
      </vt:variant>
      <vt:variant>
        <vt:i4>1769495</vt:i4>
      </vt:variant>
      <vt:variant>
        <vt:i4>45</vt:i4>
      </vt:variant>
      <vt:variant>
        <vt:i4>0</vt:i4>
      </vt:variant>
      <vt:variant>
        <vt:i4>5</vt:i4>
      </vt:variant>
      <vt:variant>
        <vt:lpwstr/>
      </vt:variant>
      <vt:variant>
        <vt:lpwstr>SectionE</vt:lpwstr>
      </vt:variant>
      <vt:variant>
        <vt:i4>6488178</vt:i4>
      </vt:variant>
      <vt:variant>
        <vt:i4>42</vt:i4>
      </vt:variant>
      <vt:variant>
        <vt:i4>0</vt:i4>
      </vt:variant>
      <vt:variant>
        <vt:i4>5</vt:i4>
      </vt:variant>
      <vt:variant>
        <vt:lpwstr/>
      </vt:variant>
      <vt:variant>
        <vt:lpwstr>SectionDEY</vt:lpwstr>
      </vt:variant>
      <vt:variant>
        <vt:i4>2031627</vt:i4>
      </vt:variant>
      <vt:variant>
        <vt:i4>39</vt:i4>
      </vt:variant>
      <vt:variant>
        <vt:i4>0</vt:i4>
      </vt:variant>
      <vt:variant>
        <vt:i4>5</vt:i4>
      </vt:variant>
      <vt:variant>
        <vt:lpwstr/>
      </vt:variant>
      <vt:variant>
        <vt:lpwstr>SectionDPPlus</vt:lpwstr>
      </vt:variant>
      <vt:variant>
        <vt:i4>6815845</vt:i4>
      </vt:variant>
      <vt:variant>
        <vt:i4>36</vt:i4>
      </vt:variant>
      <vt:variant>
        <vt:i4>0</vt:i4>
      </vt:variant>
      <vt:variant>
        <vt:i4>5</vt:i4>
      </vt:variant>
      <vt:variant>
        <vt:lpwstr/>
      </vt:variant>
      <vt:variant>
        <vt:lpwstr>SectionDRR</vt:lpwstr>
      </vt:variant>
      <vt:variant>
        <vt:i4>7798891</vt:i4>
      </vt:variant>
      <vt:variant>
        <vt:i4>33</vt:i4>
      </vt:variant>
      <vt:variant>
        <vt:i4>0</vt:i4>
      </vt:variant>
      <vt:variant>
        <vt:i4>5</vt:i4>
      </vt:variant>
      <vt:variant>
        <vt:lpwstr/>
      </vt:variant>
      <vt:variant>
        <vt:lpwstr>SectionDGrowth</vt:lpwstr>
      </vt:variant>
      <vt:variant>
        <vt:i4>8126497</vt:i4>
      </vt:variant>
      <vt:variant>
        <vt:i4>30</vt:i4>
      </vt:variant>
      <vt:variant>
        <vt:i4>0</vt:i4>
      </vt:variant>
      <vt:variant>
        <vt:i4>5</vt:i4>
      </vt:variant>
      <vt:variant>
        <vt:lpwstr/>
      </vt:variant>
      <vt:variant>
        <vt:lpwstr>SectionD6F</vt:lpwstr>
      </vt:variant>
      <vt:variant>
        <vt:i4>1048582</vt:i4>
      </vt:variant>
      <vt:variant>
        <vt:i4>27</vt:i4>
      </vt:variant>
      <vt:variant>
        <vt:i4>0</vt:i4>
      </vt:variant>
      <vt:variant>
        <vt:i4>5</vt:i4>
      </vt:variant>
      <vt:variant>
        <vt:lpwstr/>
      </vt:variant>
      <vt:variant>
        <vt:lpwstr>FurtherDelegation</vt:lpwstr>
      </vt:variant>
      <vt:variant>
        <vt:i4>1703959</vt:i4>
      </vt:variant>
      <vt:variant>
        <vt:i4>24</vt:i4>
      </vt:variant>
      <vt:variant>
        <vt:i4>0</vt:i4>
      </vt:variant>
      <vt:variant>
        <vt:i4>5</vt:i4>
      </vt:variant>
      <vt:variant>
        <vt:lpwstr/>
      </vt:variant>
      <vt:variant>
        <vt:lpwstr>SectionD</vt:lpwstr>
      </vt:variant>
      <vt:variant>
        <vt:i4>7143527</vt:i4>
      </vt:variant>
      <vt:variant>
        <vt:i4>21</vt:i4>
      </vt:variant>
      <vt:variant>
        <vt:i4>0</vt:i4>
      </vt:variant>
      <vt:variant>
        <vt:i4>5</vt:i4>
      </vt:variant>
      <vt:variant>
        <vt:lpwstr/>
      </vt:variant>
      <vt:variant>
        <vt:lpwstr>SectionCPP</vt:lpwstr>
      </vt:variant>
      <vt:variant>
        <vt:i4>8061043</vt:i4>
      </vt:variant>
      <vt:variant>
        <vt:i4>18</vt:i4>
      </vt:variant>
      <vt:variant>
        <vt:i4>0</vt:i4>
      </vt:variant>
      <vt:variant>
        <vt:i4>5</vt:i4>
      </vt:variant>
      <vt:variant>
        <vt:lpwstr/>
      </vt:variant>
      <vt:variant>
        <vt:lpwstr>SectionCDFC</vt:lpwstr>
      </vt:variant>
      <vt:variant>
        <vt:i4>131102</vt:i4>
      </vt:variant>
      <vt:variant>
        <vt:i4>15</vt:i4>
      </vt:variant>
      <vt:variant>
        <vt:i4>0</vt:i4>
      </vt:variant>
      <vt:variant>
        <vt:i4>5</vt:i4>
      </vt:variant>
      <vt:variant>
        <vt:lpwstr/>
      </vt:variant>
      <vt:variant>
        <vt:lpwstr>SectionCFLOs</vt:lpwstr>
      </vt:variant>
      <vt:variant>
        <vt:i4>7536766</vt:i4>
      </vt:variant>
      <vt:variant>
        <vt:i4>12</vt:i4>
      </vt:variant>
      <vt:variant>
        <vt:i4>0</vt:i4>
      </vt:variant>
      <vt:variant>
        <vt:i4>5</vt:i4>
      </vt:variant>
      <vt:variant>
        <vt:lpwstr/>
      </vt:variant>
      <vt:variant>
        <vt:lpwstr>SectionCIns</vt:lpwstr>
      </vt:variant>
      <vt:variant>
        <vt:i4>7405684</vt:i4>
      </vt:variant>
      <vt:variant>
        <vt:i4>9</vt:i4>
      </vt:variant>
      <vt:variant>
        <vt:i4>0</vt:i4>
      </vt:variant>
      <vt:variant>
        <vt:i4>5</vt:i4>
      </vt:variant>
      <vt:variant>
        <vt:lpwstr/>
      </vt:variant>
      <vt:variant>
        <vt:lpwstr>SectionCCL</vt:lpwstr>
      </vt:variant>
      <vt:variant>
        <vt:i4>1900567</vt:i4>
      </vt:variant>
      <vt:variant>
        <vt:i4>6</vt:i4>
      </vt:variant>
      <vt:variant>
        <vt:i4>0</vt:i4>
      </vt:variant>
      <vt:variant>
        <vt:i4>5</vt:i4>
      </vt:variant>
      <vt:variant>
        <vt:lpwstr/>
      </vt:variant>
      <vt:variant>
        <vt:lpwstr>SectionC</vt:lpwstr>
      </vt:variant>
      <vt:variant>
        <vt:i4>1835031</vt:i4>
      </vt:variant>
      <vt:variant>
        <vt:i4>3</vt:i4>
      </vt:variant>
      <vt:variant>
        <vt:i4>0</vt:i4>
      </vt:variant>
      <vt:variant>
        <vt:i4>5</vt:i4>
      </vt:variant>
      <vt:variant>
        <vt:lpwstr/>
      </vt:variant>
      <vt:variant>
        <vt:lpwstr>SectionB</vt:lpwstr>
      </vt:variant>
      <vt:variant>
        <vt:i4>2031639</vt:i4>
      </vt:variant>
      <vt:variant>
        <vt:i4>0</vt:i4>
      </vt:variant>
      <vt:variant>
        <vt:i4>0</vt:i4>
      </vt:variant>
      <vt:variant>
        <vt:i4>5</vt:i4>
      </vt:variant>
      <vt:variant>
        <vt:lpwstr/>
      </vt:variant>
      <vt:variant>
        <vt:lpwstr>SectionA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hamili01</dc:creator>
  <cp:lastModifiedBy>Martin, Ashley - BSS FP</cp:lastModifiedBy>
  <cp:revision>29</cp:revision>
  <cp:lastPrinted>2015-02-17T14:36:00Z</cp:lastPrinted>
  <dcterms:created xsi:type="dcterms:W3CDTF">2017-02-27T14:59:00Z</dcterms:created>
  <dcterms:modified xsi:type="dcterms:W3CDTF">2017-03-01T15:27:00Z</dcterms:modified>
</cp:coreProperties>
</file>