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30" w:rsidRPr="009E718B" w:rsidRDefault="00A66A30" w:rsidP="00A66A30">
      <w:pPr>
        <w:rPr>
          <w:b/>
          <w:sz w:val="28"/>
          <w:szCs w:val="28"/>
        </w:rPr>
      </w:pPr>
      <w:r w:rsidRPr="009E718B">
        <w:rPr>
          <w:b/>
          <w:sz w:val="28"/>
          <w:szCs w:val="28"/>
        </w:rPr>
        <w:t>Guidance on writing a specification</w:t>
      </w:r>
    </w:p>
    <w:p w:rsidR="00A66A30" w:rsidRPr="009E718B" w:rsidRDefault="00A66A30" w:rsidP="00A66A30">
      <w:pPr>
        <w:pStyle w:val="ListParagraph"/>
        <w:numPr>
          <w:ilvl w:val="0"/>
          <w:numId w:val="1"/>
        </w:numPr>
        <w:rPr>
          <w:b/>
        </w:rPr>
      </w:pPr>
      <w:r w:rsidRPr="009E718B">
        <w:rPr>
          <w:b/>
        </w:rPr>
        <w:t>Specification</w:t>
      </w:r>
    </w:p>
    <w:p w:rsidR="00A66A30" w:rsidRDefault="00A66A30" w:rsidP="00A66A30">
      <w:r>
        <w:t>The specification is a key part of the tender documentation</w:t>
      </w:r>
      <w:r w:rsidR="00403C66">
        <w:t>.</w:t>
      </w:r>
      <w:r>
        <w:t xml:space="preserve"> The specification describes as accurately as possible the supplies, services or works that the Council requires. In some cases it will be a highly prescriptive specification (for example, where a specific item of equipment is required). In other cases the specification may be output or outcome focused, where the Council describes expected standards and results, but is not necessarily prescriptive regarding how this is achieved.</w:t>
      </w:r>
    </w:p>
    <w:p w:rsidR="00A66A30" w:rsidRDefault="00A66A30" w:rsidP="00A66A30">
      <w:r>
        <w:t>Preparing a specification requires in-depth research to be carried out and a great deal of accuracy. A poor description of the Council's requirements may mean that the product or service is not delivered to the standards required, and late changes to a specification may result in additional costs.</w:t>
      </w:r>
    </w:p>
    <w:p w:rsidR="00A66A30" w:rsidRPr="009F2567" w:rsidRDefault="00A66A30" w:rsidP="00A66A30">
      <w:pPr>
        <w:rPr>
          <w:b/>
        </w:rPr>
      </w:pPr>
      <w:r w:rsidRPr="009F2567">
        <w:rPr>
          <w:b/>
        </w:rPr>
        <w:t>2. Writing the Specification</w:t>
      </w:r>
    </w:p>
    <w:p w:rsidR="00A66A30" w:rsidRPr="009F2567" w:rsidRDefault="00A66A30" w:rsidP="00A66A30">
      <w:pPr>
        <w:rPr>
          <w:b/>
        </w:rPr>
      </w:pPr>
      <w:r w:rsidRPr="009F2567">
        <w:rPr>
          <w:b/>
        </w:rPr>
        <w:t>2.1 Pre-specification tasks</w:t>
      </w:r>
    </w:p>
    <w:p w:rsidR="00BA6EAB" w:rsidRDefault="00A66A30" w:rsidP="00A66A30">
      <w:r>
        <w:t xml:space="preserve">• Ensure that there is a clear understanding of what is required. If producing a specification for another </w:t>
      </w:r>
      <w:proofErr w:type="gramStart"/>
      <w:r>
        <w:t>party,</w:t>
      </w:r>
      <w:proofErr w:type="gramEnd"/>
      <w:r>
        <w:t xml:space="preserve"> identify and agree the customer or user’s requirements and again, ensure that they are fully understood</w:t>
      </w:r>
      <w:r w:rsidR="00BA6EAB">
        <w:t xml:space="preserve">. </w:t>
      </w:r>
    </w:p>
    <w:p w:rsidR="00A66A30" w:rsidRPr="009F2567" w:rsidRDefault="00BA6EAB" w:rsidP="00A66A30">
      <w:pPr>
        <w:rPr>
          <w:b/>
          <w:i/>
        </w:rPr>
      </w:pPr>
      <w:r w:rsidRPr="009F2567">
        <w:rPr>
          <w:b/>
          <w:i/>
        </w:rPr>
        <w:t xml:space="preserve">Top tip to remember: A common error is to over specify, this </w:t>
      </w:r>
      <w:r w:rsidR="009F2567" w:rsidRPr="009F2567">
        <w:rPr>
          <w:b/>
          <w:i/>
        </w:rPr>
        <w:t>is likely to</w:t>
      </w:r>
      <w:r w:rsidRPr="009F2567">
        <w:rPr>
          <w:b/>
          <w:i/>
        </w:rPr>
        <w:t xml:space="preserve"> result in higher costs. </w:t>
      </w:r>
      <w:r w:rsidR="009F2567" w:rsidRPr="009F2567">
        <w:rPr>
          <w:b/>
          <w:i/>
        </w:rPr>
        <w:t>The classic</w:t>
      </w:r>
      <w:r w:rsidRPr="009F2567">
        <w:rPr>
          <w:b/>
          <w:i/>
        </w:rPr>
        <w:t xml:space="preserve"> example </w:t>
      </w:r>
      <w:r w:rsidR="009F2567" w:rsidRPr="009F2567">
        <w:rPr>
          <w:b/>
          <w:i/>
        </w:rPr>
        <w:t xml:space="preserve">is </w:t>
      </w:r>
      <w:r w:rsidRPr="009F2567">
        <w:rPr>
          <w:b/>
          <w:i/>
        </w:rPr>
        <w:t>produc</w:t>
      </w:r>
      <w:r w:rsidR="009F2567" w:rsidRPr="009F2567">
        <w:rPr>
          <w:b/>
          <w:i/>
        </w:rPr>
        <w:t>ing</w:t>
      </w:r>
      <w:r w:rsidRPr="009F2567">
        <w:rPr>
          <w:b/>
          <w:i/>
        </w:rPr>
        <w:t xml:space="preserve"> a specification for a sports car when all that is required t</w:t>
      </w:r>
      <w:r w:rsidR="009F2567" w:rsidRPr="009F2567">
        <w:rPr>
          <w:b/>
          <w:i/>
        </w:rPr>
        <w:t>o perform the task is a bicycle!</w:t>
      </w:r>
      <w:r w:rsidRPr="009F2567">
        <w:rPr>
          <w:b/>
          <w:i/>
        </w:rPr>
        <w:t xml:space="preserve"> </w:t>
      </w:r>
    </w:p>
    <w:p w:rsidR="00A66A30" w:rsidRDefault="00A66A30" w:rsidP="00A66A30">
      <w:r>
        <w:t>• For works, analyse any existing provisions to determine the impact of the new proposals and the relationship of new to existing</w:t>
      </w:r>
    </w:p>
    <w:p w:rsidR="00A66A30" w:rsidRDefault="00A66A30" w:rsidP="00A66A30">
      <w:r w:rsidRPr="00BA6EAB">
        <w:t xml:space="preserve">• Research the market by </w:t>
      </w:r>
      <w:r w:rsidR="00BA6EAB" w:rsidRPr="00BA6EAB">
        <w:t xml:space="preserve">carrying out market engagement – speak </w:t>
      </w:r>
      <w:r w:rsidRPr="00BA6EAB">
        <w:t>to suppliers, other purchasers, industry associations, etc. to identify possible solutions, indicative costs and delivery time-scales</w:t>
      </w:r>
    </w:p>
    <w:p w:rsidR="00A66A30" w:rsidRDefault="00A66A30" w:rsidP="00A66A30">
      <w:r>
        <w:t>• Identify the possible risks associated with the procurement process so that ways of controlling the risks can be built into the specification</w:t>
      </w:r>
    </w:p>
    <w:p w:rsidR="00A66A30" w:rsidRDefault="00A66A30" w:rsidP="00A66A30">
      <w:r>
        <w:t>• Identify the scope of the contract and what the range of goods and services are which the supplier will be asked to deliver</w:t>
      </w:r>
    </w:p>
    <w:p w:rsidR="00A66A30" w:rsidRDefault="00A66A30" w:rsidP="00A66A30">
      <w:r>
        <w:t xml:space="preserve">• Identify the evaluation criteria so that the specification will reflect the importance of each </w:t>
      </w:r>
      <w:proofErr w:type="gramStart"/>
      <w:r>
        <w:t>criteria</w:t>
      </w:r>
      <w:proofErr w:type="gramEnd"/>
    </w:p>
    <w:p w:rsidR="00A66A30" w:rsidRDefault="00A66A30" w:rsidP="00A66A30">
      <w:r>
        <w:t xml:space="preserve">• </w:t>
      </w:r>
      <w:r w:rsidRPr="00BA6EAB">
        <w:t>Determine how you will monitor performance of the contract.</w:t>
      </w:r>
    </w:p>
    <w:p w:rsidR="00A66A30" w:rsidRPr="009E718B" w:rsidRDefault="00A66A30" w:rsidP="00A66A30">
      <w:pPr>
        <w:rPr>
          <w:b/>
        </w:rPr>
      </w:pPr>
      <w:r w:rsidRPr="009E718B">
        <w:rPr>
          <w:b/>
        </w:rPr>
        <w:t>2.2 Structure of the Specification</w:t>
      </w:r>
    </w:p>
    <w:p w:rsidR="00A66A30" w:rsidRDefault="00A66A30" w:rsidP="00A66A30">
      <w:r>
        <w:t xml:space="preserve">Specifications will vary in length and complexity depending on the nature of the product or service being procured. </w:t>
      </w:r>
    </w:p>
    <w:p w:rsidR="00A66A30" w:rsidRDefault="00A66A30" w:rsidP="00A66A30">
      <w:r>
        <w:t>Areas in most specifications</w:t>
      </w:r>
      <w:r w:rsidR="009F2567">
        <w:t xml:space="preserve"> which</w:t>
      </w:r>
      <w:r>
        <w:t xml:space="preserve"> should be included unless there is valid reason otherwise:</w:t>
      </w:r>
    </w:p>
    <w:p w:rsidR="00A66A30" w:rsidRDefault="00A66A30" w:rsidP="00A66A30">
      <w:r>
        <w:t>• Introduction</w:t>
      </w:r>
      <w:r w:rsidR="008513D4">
        <w:t xml:space="preserve"> &amp; Scope</w:t>
      </w:r>
      <w:r>
        <w:t xml:space="preserve"> - The introduction should briefly explain the requirement and the context of that requirement.</w:t>
      </w:r>
      <w:r w:rsidR="008513D4">
        <w:t xml:space="preserve"> </w:t>
      </w:r>
      <w:r>
        <w:t>The scope will address areas such as anticipated demand or volumes, whether the supplier is to supply only, supply and install, provide training, provide support documentation, etc. and, where appropriate, should identify specifically what is not to be included.</w:t>
      </w:r>
    </w:p>
    <w:p w:rsidR="00A66A30" w:rsidRDefault="00A66A30" w:rsidP="00A66A30">
      <w:r>
        <w:t>• Background – The more information a tenderer has, the better able he or she is able to respond to the tender. Background information may cover, where appropriate, the reason the Council is tendering, its expectations, the implications for the Council implementing the solutions</w:t>
      </w:r>
      <w:r w:rsidR="00835581">
        <w:t xml:space="preserve"> etc. </w:t>
      </w:r>
      <w:r>
        <w:t>It may also explain how the solutions may link into other requirements and applications whether already implemented or planned for the future.</w:t>
      </w:r>
    </w:p>
    <w:p w:rsidR="00A66A30" w:rsidRDefault="00A66A30" w:rsidP="00A66A30">
      <w:r>
        <w:t>• Service Conditions and Environmental Factors – Explain any factors which may have a bearing on the operation of the goods or services. For example, if the physical environment may impact on the output design or performance, the specification must highlight these conditions. Examples are:</w:t>
      </w:r>
    </w:p>
    <w:p w:rsidR="00A66A30" w:rsidRDefault="00A66A30" w:rsidP="008513D4">
      <w:pPr>
        <w:pStyle w:val="ListParagraph"/>
        <w:numPr>
          <w:ilvl w:val="0"/>
          <w:numId w:val="4"/>
        </w:numPr>
      </w:pPr>
      <w:r>
        <w:t>Operating and storage conditions</w:t>
      </w:r>
    </w:p>
    <w:p w:rsidR="00A66A30" w:rsidRDefault="00A66A30" w:rsidP="008513D4">
      <w:pPr>
        <w:pStyle w:val="ListParagraph"/>
        <w:numPr>
          <w:ilvl w:val="0"/>
          <w:numId w:val="4"/>
        </w:numPr>
      </w:pPr>
      <w:r>
        <w:t>The need for interchangeability or compatibility with existing services and equipment</w:t>
      </w:r>
    </w:p>
    <w:p w:rsidR="00A66A30" w:rsidRDefault="00A66A30" w:rsidP="008513D4">
      <w:pPr>
        <w:pStyle w:val="ListParagraph"/>
        <w:numPr>
          <w:ilvl w:val="0"/>
          <w:numId w:val="4"/>
        </w:numPr>
      </w:pPr>
      <w:r>
        <w:t>Personnel and health and safety aspects</w:t>
      </w:r>
    </w:p>
    <w:p w:rsidR="00A66A30" w:rsidRDefault="00A66A30" w:rsidP="008513D4">
      <w:pPr>
        <w:pStyle w:val="ListParagraph"/>
        <w:numPr>
          <w:ilvl w:val="0"/>
          <w:numId w:val="4"/>
        </w:numPr>
      </w:pPr>
      <w:r>
        <w:t>Existing facilities to be maintained throughout a contract period and what has to be done to ensure this</w:t>
      </w:r>
    </w:p>
    <w:p w:rsidR="00A66A30" w:rsidRDefault="00A66A30" w:rsidP="00A66A30">
      <w:r>
        <w:t>The specification must also cover any particular sustainability requirements, for example, energy usage and the recycling capability of the goods.</w:t>
      </w:r>
    </w:p>
    <w:p w:rsidR="00A66A30" w:rsidRDefault="00A66A30" w:rsidP="00A66A30">
      <w:r>
        <w:t>• Statement of Requirements - The statement of requirement must contain a description of the outputs for services or functionality and performance requirements for goods. Details of the performance indicators and benchmarks that will be monitored during the contract period must also be included.</w:t>
      </w:r>
    </w:p>
    <w:p w:rsidR="00A66A30" w:rsidRDefault="00A66A30" w:rsidP="00A66A30">
      <w:r>
        <w:t>The statement of requirements will vary significantly in scale and complexity depending on the size and nature of the contract but may contain some or all of the following:</w:t>
      </w:r>
    </w:p>
    <w:p w:rsidR="00A66A30" w:rsidRPr="009E718B" w:rsidRDefault="00A66A30" w:rsidP="00E26351">
      <w:pPr>
        <w:spacing w:line="240" w:lineRule="auto"/>
        <w:contextualSpacing/>
        <w:rPr>
          <w:b/>
          <w:i/>
        </w:rPr>
      </w:pPr>
      <w:r w:rsidRPr="009E718B">
        <w:rPr>
          <w:b/>
          <w:i/>
        </w:rPr>
        <w:t>Services:</w:t>
      </w:r>
    </w:p>
    <w:p w:rsidR="00A66A30" w:rsidRDefault="00A66A30" w:rsidP="00E26351">
      <w:pPr>
        <w:spacing w:line="240" w:lineRule="auto"/>
        <w:contextualSpacing/>
      </w:pPr>
      <w:r>
        <w:t>Required outputs and/or outcomes</w:t>
      </w:r>
    </w:p>
    <w:p w:rsidR="009E718B" w:rsidRDefault="00A66A30" w:rsidP="00E26351">
      <w:pPr>
        <w:spacing w:line="240" w:lineRule="auto"/>
        <w:contextualSpacing/>
      </w:pPr>
      <w:r>
        <w:t>Performance measures</w:t>
      </w:r>
      <w:r w:rsidR="009E718B">
        <w:t>/Targets/</w:t>
      </w:r>
      <w:r w:rsidR="009E718B" w:rsidRPr="009E718B">
        <w:t xml:space="preserve"> </w:t>
      </w:r>
      <w:r w:rsidR="009E718B">
        <w:t>Reporting requirements</w:t>
      </w:r>
    </w:p>
    <w:p w:rsidR="00A66A30" w:rsidRDefault="00A66A30" w:rsidP="00E26351">
      <w:pPr>
        <w:spacing w:line="240" w:lineRule="auto"/>
        <w:contextualSpacing/>
      </w:pPr>
      <w:r>
        <w:t>Management of the contract</w:t>
      </w:r>
    </w:p>
    <w:p w:rsidR="00A66A30" w:rsidRDefault="00A66A30" w:rsidP="00E26351">
      <w:pPr>
        <w:spacing w:line="240" w:lineRule="auto"/>
        <w:contextualSpacing/>
      </w:pPr>
      <w:r>
        <w:t>Transfer of assets and personnel</w:t>
      </w:r>
    </w:p>
    <w:p w:rsidR="00A66A30" w:rsidRDefault="00A66A30" w:rsidP="00E26351">
      <w:pPr>
        <w:spacing w:line="240" w:lineRule="auto"/>
        <w:contextualSpacing/>
      </w:pPr>
      <w:r>
        <w:t>The hand-over process</w:t>
      </w:r>
    </w:p>
    <w:p w:rsidR="00E26351" w:rsidRDefault="00A66A30" w:rsidP="00E26351">
      <w:pPr>
        <w:spacing w:line="240" w:lineRule="auto"/>
        <w:contextualSpacing/>
      </w:pPr>
      <w:r>
        <w:t>Transition between service providers</w:t>
      </w:r>
    </w:p>
    <w:p w:rsidR="00A66A30" w:rsidRPr="009E718B" w:rsidRDefault="00A66A30" w:rsidP="00E26351">
      <w:pPr>
        <w:spacing w:line="240" w:lineRule="auto"/>
        <w:contextualSpacing/>
        <w:rPr>
          <w:b/>
          <w:i/>
        </w:rPr>
      </w:pPr>
      <w:r w:rsidRPr="009E718B">
        <w:rPr>
          <w:b/>
          <w:i/>
        </w:rPr>
        <w:t>Goods:</w:t>
      </w:r>
    </w:p>
    <w:p w:rsidR="00A66A30" w:rsidRDefault="00A66A30" w:rsidP="00E26351">
      <w:pPr>
        <w:spacing w:line="240" w:lineRule="auto"/>
        <w:contextualSpacing/>
      </w:pPr>
      <w:r>
        <w:t>Design and performance criteria</w:t>
      </w:r>
    </w:p>
    <w:p w:rsidR="00A66A30" w:rsidRDefault="00A66A30" w:rsidP="00E26351">
      <w:pPr>
        <w:spacing w:line="240" w:lineRule="auto"/>
        <w:contextualSpacing/>
      </w:pPr>
      <w:r>
        <w:t>Functional</w:t>
      </w:r>
      <w:r w:rsidR="009E718B">
        <w:t>, Performance and Technical</w:t>
      </w:r>
      <w:r>
        <w:t xml:space="preserve"> characteristics</w:t>
      </w:r>
    </w:p>
    <w:p w:rsidR="00A66A30" w:rsidRDefault="00A66A30" w:rsidP="00E26351">
      <w:pPr>
        <w:spacing w:line="240" w:lineRule="auto"/>
        <w:contextualSpacing/>
      </w:pPr>
      <w:r>
        <w:t>Standards</w:t>
      </w:r>
    </w:p>
    <w:p w:rsidR="00A66A30" w:rsidRDefault="00A66A30" w:rsidP="00E26351">
      <w:pPr>
        <w:spacing w:line="240" w:lineRule="auto"/>
        <w:contextualSpacing/>
      </w:pPr>
      <w:r>
        <w:t>Compatibility and standardisation</w:t>
      </w:r>
    </w:p>
    <w:p w:rsidR="00A66A30" w:rsidRDefault="00A66A30" w:rsidP="00E26351">
      <w:pPr>
        <w:spacing w:line="240" w:lineRule="auto"/>
        <w:contextualSpacing/>
      </w:pPr>
      <w:r>
        <w:t>Acceptance testing</w:t>
      </w:r>
    </w:p>
    <w:p w:rsidR="00A66A30" w:rsidRDefault="00A66A30" w:rsidP="00E26351">
      <w:pPr>
        <w:spacing w:line="240" w:lineRule="auto"/>
        <w:contextualSpacing/>
      </w:pPr>
      <w:r>
        <w:t>Trade-ins</w:t>
      </w:r>
    </w:p>
    <w:p w:rsidR="00A66A30" w:rsidRPr="009E718B" w:rsidRDefault="00A66A30" w:rsidP="00E26351">
      <w:pPr>
        <w:spacing w:line="240" w:lineRule="auto"/>
        <w:contextualSpacing/>
        <w:rPr>
          <w:b/>
          <w:i/>
        </w:rPr>
      </w:pPr>
      <w:r w:rsidRPr="009E718B">
        <w:rPr>
          <w:b/>
          <w:i/>
        </w:rPr>
        <w:t>Works:</w:t>
      </w:r>
    </w:p>
    <w:p w:rsidR="00A66A30" w:rsidRDefault="00A66A30" w:rsidP="00E26351">
      <w:pPr>
        <w:spacing w:line="240" w:lineRule="auto"/>
        <w:contextualSpacing/>
      </w:pPr>
      <w:r>
        <w:t>List drawings and other guidance provided</w:t>
      </w:r>
    </w:p>
    <w:p w:rsidR="00A66A30" w:rsidRDefault="00A66A30" w:rsidP="00E26351">
      <w:pPr>
        <w:spacing w:line="240" w:lineRule="auto"/>
        <w:contextualSpacing/>
      </w:pPr>
      <w:r>
        <w:t>Details of access, ground conditions and preparation work</w:t>
      </w:r>
    </w:p>
    <w:p w:rsidR="00A66A30" w:rsidRDefault="00A66A30" w:rsidP="00E26351">
      <w:pPr>
        <w:spacing w:line="240" w:lineRule="auto"/>
        <w:contextualSpacing/>
      </w:pPr>
      <w:r>
        <w:t>Performance criteria including contractors’ designs</w:t>
      </w:r>
    </w:p>
    <w:p w:rsidR="00A66A30" w:rsidRDefault="00A66A30" w:rsidP="00E26351">
      <w:pPr>
        <w:spacing w:line="240" w:lineRule="auto"/>
        <w:contextualSpacing/>
      </w:pPr>
      <w:r>
        <w:t>Relationships with subcontractors and suppliers</w:t>
      </w:r>
    </w:p>
    <w:p w:rsidR="00A66A30" w:rsidRDefault="00A66A30" w:rsidP="00E26351">
      <w:pPr>
        <w:spacing w:line="240" w:lineRule="auto"/>
        <w:contextualSpacing/>
      </w:pPr>
      <w:r>
        <w:t>Employer’s contractual and legal requirements</w:t>
      </w:r>
    </w:p>
    <w:p w:rsidR="00A66A30" w:rsidRDefault="00A66A30" w:rsidP="00E26351">
      <w:pPr>
        <w:spacing w:line="240" w:lineRule="auto"/>
        <w:contextualSpacing/>
      </w:pPr>
      <w:r>
        <w:t>Works management including completion and defects</w:t>
      </w:r>
    </w:p>
    <w:p w:rsidR="00A66A30" w:rsidRDefault="00A66A30" w:rsidP="00E26351">
      <w:pPr>
        <w:spacing w:line="240" w:lineRule="auto"/>
        <w:contextualSpacing/>
      </w:pPr>
      <w:r>
        <w:t>Control of time and cost</w:t>
      </w:r>
    </w:p>
    <w:p w:rsidR="00A66A30" w:rsidRDefault="00A66A30" w:rsidP="00E26351">
      <w:pPr>
        <w:spacing w:line="240" w:lineRule="auto"/>
        <w:contextualSpacing/>
      </w:pPr>
      <w:r>
        <w:t>Quality control, standards and checks required</w:t>
      </w:r>
    </w:p>
    <w:p w:rsidR="00A66A30" w:rsidRDefault="00A66A30" w:rsidP="00E26351">
      <w:pPr>
        <w:spacing w:line="240" w:lineRule="auto"/>
        <w:contextualSpacing/>
      </w:pPr>
      <w:r>
        <w:t>Health and safety</w:t>
      </w:r>
    </w:p>
    <w:p w:rsidR="00A66A30" w:rsidRDefault="00A66A30" w:rsidP="00E26351">
      <w:pPr>
        <w:spacing w:line="240" w:lineRule="auto"/>
        <w:contextualSpacing/>
      </w:pPr>
      <w:r>
        <w:t>Temporary facilities</w:t>
      </w:r>
    </w:p>
    <w:p w:rsidR="00E26351" w:rsidRDefault="00E26351" w:rsidP="00E26351">
      <w:pPr>
        <w:spacing w:line="240" w:lineRule="auto"/>
        <w:contextualSpacing/>
      </w:pPr>
    </w:p>
    <w:p w:rsidR="00A66A30" w:rsidRDefault="00A66A30" w:rsidP="00A66A30">
      <w:r>
        <w:t>There are also strict rules in the EU procurement regulations about naming proprietary brands in specifications; it is not possible to specify brand names since this may distort competition.</w:t>
      </w:r>
    </w:p>
    <w:p w:rsidR="00A66A30" w:rsidRDefault="00A66A30" w:rsidP="00A66A30">
      <w:r>
        <w:t>• Quality Requirements - The specification should address the quality processes and standards expected of the supplier. For supply contracts, the quality of the goods required must be clearly defined</w:t>
      </w:r>
      <w:r w:rsidR="009E718B">
        <w:t xml:space="preserve">. </w:t>
      </w:r>
    </w:p>
    <w:p w:rsidR="009E718B" w:rsidRPr="009F2567" w:rsidRDefault="009E718B" w:rsidP="00A66A30">
      <w:pPr>
        <w:rPr>
          <w:b/>
          <w:i/>
        </w:rPr>
      </w:pPr>
      <w:r w:rsidRPr="009F2567">
        <w:rPr>
          <w:b/>
          <w:i/>
        </w:rPr>
        <w:t>Top Tip: if there are</w:t>
      </w:r>
      <w:r w:rsidR="009F2567" w:rsidRPr="009F2567">
        <w:rPr>
          <w:b/>
          <w:i/>
        </w:rPr>
        <w:t xml:space="preserve"> any </w:t>
      </w:r>
      <w:r w:rsidRPr="009F2567">
        <w:rPr>
          <w:b/>
          <w:i/>
        </w:rPr>
        <w:t xml:space="preserve">mandatory quality levels </w:t>
      </w:r>
      <w:r w:rsidR="009F2567" w:rsidRPr="009F2567">
        <w:rPr>
          <w:b/>
          <w:i/>
        </w:rPr>
        <w:t>that must be met,</w:t>
      </w:r>
      <w:r w:rsidRPr="009F2567">
        <w:rPr>
          <w:b/>
          <w:i/>
        </w:rPr>
        <w:t xml:space="preserve"> then this should be </w:t>
      </w:r>
      <w:proofErr w:type="spellStart"/>
      <w:r w:rsidRPr="009F2567">
        <w:rPr>
          <w:b/>
          <w:i/>
        </w:rPr>
        <w:t>build</w:t>
      </w:r>
      <w:proofErr w:type="spellEnd"/>
      <w:r w:rsidRPr="009F2567">
        <w:rPr>
          <w:b/>
          <w:i/>
        </w:rPr>
        <w:t xml:space="preserve"> into the specification rather than given a weighting in the evaluation criteria. </w:t>
      </w:r>
    </w:p>
    <w:p w:rsidR="00A66A30" w:rsidRDefault="00A66A30" w:rsidP="00A66A30">
      <w:r>
        <w:t>• Whole of life support - This section should state what maintenance is required and any modifications or upgrades that may be required in the future plus any warranties required.</w:t>
      </w:r>
    </w:p>
    <w:p w:rsidR="00A66A30" w:rsidRDefault="00A66A30" w:rsidP="00A66A30">
      <w:r>
        <w:t>• Security - If security is an issue then this section should ask suppliers about how the confidentiality of personal and commercial information will be handled. It may also address security issues such as theft-reduction measures.</w:t>
      </w:r>
    </w:p>
    <w:p w:rsidR="00A66A30" w:rsidRDefault="00A66A30" w:rsidP="00A66A30">
      <w:r>
        <w:t>• Training - Any training which is required for the product or service in question should be clearly identified and the supplier should be required to state what will be provided, plus the cost of any additional training requirements that may be required above the levels agreed in the tender process.</w:t>
      </w:r>
    </w:p>
    <w:p w:rsidR="00A66A30" w:rsidRDefault="00A66A30" w:rsidP="00A66A30">
      <w:r>
        <w:t>• Implementation timetable - The implementation timetable should be fully detailed including the commencement date, delivery date(s), milestones, and a completion date. The Council must specify the required dates and not ask the supplier when he or she can deliver, although the supplier can be asked to provide costed variations if deemed appropriate.</w:t>
      </w:r>
    </w:p>
    <w:p w:rsidR="00BA6EAB" w:rsidRDefault="00BA6EAB" w:rsidP="00A66A30">
      <w:r>
        <w:t>• Definitions – In addition to the definitions in the contract part of the tender, it is important that there is a list of definitions, or a glossary of terms, to ensure that technical words and phrases in the specification are mutually understood. Failure to define key words and phrases may lead to misunderstandings and inappropriate solutions.</w:t>
      </w:r>
    </w:p>
    <w:p w:rsidR="00A66A30" w:rsidRPr="009E718B" w:rsidRDefault="00A66A30" w:rsidP="00A66A30">
      <w:pPr>
        <w:rPr>
          <w:b/>
        </w:rPr>
      </w:pPr>
      <w:r w:rsidRPr="009E718B">
        <w:rPr>
          <w:b/>
        </w:rPr>
        <w:t>3 Evaluation Criteria</w:t>
      </w:r>
    </w:p>
    <w:p w:rsidR="00A66A30" w:rsidRDefault="00A66A30" w:rsidP="00A66A30">
      <w:r>
        <w:t>The evaluation criteria that will be used to assess the submitted tenders must be developed at the same time as the specification. The evaluation criteria must reflect the key needs of users and should be included in the specification so tenderers can construct their bids accordingly.</w:t>
      </w:r>
    </w:p>
    <w:p w:rsidR="00BA6EAB" w:rsidRDefault="00A66A30" w:rsidP="00A66A30">
      <w:proofErr w:type="gramStart"/>
      <w:r>
        <w:t>Only evaluation criteria which was</w:t>
      </w:r>
      <w:proofErr w:type="gramEnd"/>
      <w:r>
        <w:t xml:space="preserve"> included in the tender should be used when bids are assessed, so it is important to identify all the relevant criteria early in the process.</w:t>
      </w:r>
      <w:r w:rsidR="00BA6EAB">
        <w:t xml:space="preserve">  If you have created an accurate specification with all the key requirements then the evaluation criteria should be an easy task. Try not to fall into the trap of scoring a quality requirement which could have been built into the specification. </w:t>
      </w:r>
    </w:p>
    <w:p w:rsidR="00A66A30" w:rsidRPr="009E718B" w:rsidRDefault="00BA6EAB" w:rsidP="00A66A30">
      <w:pPr>
        <w:rPr>
          <w:b/>
          <w:i/>
        </w:rPr>
      </w:pPr>
      <w:r w:rsidRPr="009E718B">
        <w:rPr>
          <w:b/>
          <w:i/>
        </w:rPr>
        <w:t>Top tip: A watertight specification will enable you to compare like for like and a</w:t>
      </w:r>
      <w:r w:rsidR="009F2567">
        <w:rPr>
          <w:b/>
          <w:i/>
        </w:rPr>
        <w:t>llow</w:t>
      </w:r>
      <w:r w:rsidRPr="009E718B">
        <w:rPr>
          <w:b/>
          <w:i/>
        </w:rPr>
        <w:t xml:space="preserve"> you to achieve greater value for money by scoring on 100% price.  </w:t>
      </w:r>
    </w:p>
    <w:p w:rsidR="00BA6EAB" w:rsidRDefault="00BA6EAB" w:rsidP="00BA6EAB"/>
    <w:sectPr w:rsidR="00BA6EAB" w:rsidSect="009F2567">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8D" w:rsidRDefault="0079438D" w:rsidP="008B1C74">
      <w:pPr>
        <w:spacing w:after="0" w:line="240" w:lineRule="auto"/>
      </w:pPr>
      <w:r>
        <w:separator/>
      </w:r>
    </w:p>
  </w:endnote>
  <w:endnote w:type="continuationSeparator" w:id="0">
    <w:p w:rsidR="0079438D" w:rsidRDefault="0079438D" w:rsidP="008B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74" w:rsidRDefault="008B1C74">
    <w:pPr>
      <w:pStyle w:val="Footer"/>
    </w:pPr>
    <w:r>
      <w:tab/>
    </w:r>
    <w:r>
      <w:tab/>
    </w:r>
    <w:r w:rsidR="00963E23" w:rsidRPr="00963E23">
      <w:t>Spec Guidance/</w:t>
    </w:r>
    <w:proofErr w:type="spellStart"/>
    <w:r w:rsidR="00963E23" w:rsidRPr="00963E23">
      <w:t>LMerchant</w:t>
    </w:r>
    <w:proofErr w:type="spellEnd"/>
    <w:r w:rsidR="00963E23" w:rsidRPr="00963E23">
      <w:t>/Oct-12/V1.0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8D" w:rsidRDefault="0079438D" w:rsidP="008B1C74">
      <w:pPr>
        <w:spacing w:after="0" w:line="240" w:lineRule="auto"/>
      </w:pPr>
      <w:r>
        <w:separator/>
      </w:r>
    </w:p>
  </w:footnote>
  <w:footnote w:type="continuationSeparator" w:id="0">
    <w:p w:rsidR="0079438D" w:rsidRDefault="0079438D" w:rsidP="008B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318"/>
    <w:multiLevelType w:val="hybridMultilevel"/>
    <w:tmpl w:val="5CEA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516A3"/>
    <w:multiLevelType w:val="hybridMultilevel"/>
    <w:tmpl w:val="9828CFDC"/>
    <w:lvl w:ilvl="0" w:tplc="BCE4EE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C4440"/>
    <w:multiLevelType w:val="hybridMultilevel"/>
    <w:tmpl w:val="34A27478"/>
    <w:lvl w:ilvl="0" w:tplc="BCE4EE96">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9223D"/>
    <w:multiLevelType w:val="hybridMultilevel"/>
    <w:tmpl w:val="C1F2E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6A5F23"/>
    <w:multiLevelType w:val="hybridMultilevel"/>
    <w:tmpl w:val="3BAE06B2"/>
    <w:lvl w:ilvl="0" w:tplc="BCE4EE9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5085C"/>
    <w:rsid w:val="000739D8"/>
    <w:rsid w:val="001B48D7"/>
    <w:rsid w:val="002B3169"/>
    <w:rsid w:val="00403C66"/>
    <w:rsid w:val="00480DF6"/>
    <w:rsid w:val="00597333"/>
    <w:rsid w:val="006B3E3E"/>
    <w:rsid w:val="006F3677"/>
    <w:rsid w:val="0079438D"/>
    <w:rsid w:val="007A20B5"/>
    <w:rsid w:val="007D0A52"/>
    <w:rsid w:val="00835581"/>
    <w:rsid w:val="008513D4"/>
    <w:rsid w:val="00897DA6"/>
    <w:rsid w:val="008B1C74"/>
    <w:rsid w:val="00963E23"/>
    <w:rsid w:val="009B74BE"/>
    <w:rsid w:val="009E718B"/>
    <w:rsid w:val="009F2567"/>
    <w:rsid w:val="00A66A30"/>
    <w:rsid w:val="00BA6EAB"/>
    <w:rsid w:val="00C32E59"/>
    <w:rsid w:val="00DE5CEF"/>
    <w:rsid w:val="00E26351"/>
    <w:rsid w:val="00F94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30"/>
    <w:pPr>
      <w:ind w:left="720"/>
      <w:contextualSpacing/>
    </w:pPr>
  </w:style>
  <w:style w:type="paragraph" w:styleId="Header">
    <w:name w:val="header"/>
    <w:basedOn w:val="Normal"/>
    <w:link w:val="HeaderChar"/>
    <w:uiPriority w:val="99"/>
    <w:unhideWhenUsed/>
    <w:rsid w:val="008B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74"/>
  </w:style>
  <w:style w:type="paragraph" w:styleId="Footer">
    <w:name w:val="footer"/>
    <w:basedOn w:val="Normal"/>
    <w:link w:val="FooterChar"/>
    <w:uiPriority w:val="99"/>
    <w:unhideWhenUsed/>
    <w:rsid w:val="008B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30"/>
    <w:pPr>
      <w:ind w:left="720"/>
      <w:contextualSpacing/>
    </w:pPr>
  </w:style>
  <w:style w:type="paragraph" w:styleId="Header">
    <w:name w:val="header"/>
    <w:basedOn w:val="Normal"/>
    <w:link w:val="HeaderChar"/>
    <w:uiPriority w:val="99"/>
    <w:unhideWhenUsed/>
    <w:rsid w:val="008B1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74"/>
  </w:style>
  <w:style w:type="paragraph" w:styleId="Footer">
    <w:name w:val="footer"/>
    <w:basedOn w:val="Normal"/>
    <w:link w:val="FooterChar"/>
    <w:uiPriority w:val="99"/>
    <w:unhideWhenUsed/>
    <w:rsid w:val="008B1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3efb296-447b-4273-b4b4-ca7623c954f2">Training and Guidance</Category>
    <Owner xmlns="23efb296-447b-4273-b4b4-ca7623c954f2">
      <UserInfo>
        <DisplayName>Merchant, Louise - ST FP</DisplayName>
        <AccountId>211</AccountId>
        <AccountType/>
      </UserInfo>
    </Owner>
    <Status xmlns="23efb296-447b-4273-b4b4-ca7623c954f2">Approved</Status>
    <Document_x0020_Ref xmlns="23efb296-447b-4273-b4b4-ca7623c954f2">Spec Guidance/LMerchant/Oct-12/V1.0</Document_x0020_Ref>
    <_dlc_ExpireDateSaved xmlns="http://schemas.microsoft.com/sharepoint/v3" xsi:nil="true"/>
    <_dlc_ExpireDate xmlns="http://schemas.microsoft.com/sharepoint/v3">2024-08-29T15:20:44+00:00</_dlc_ExpireDate>
    <IconOverlay xmlns="http://schemas.microsoft.com/sharepoint/v4" xsi:nil="true"/>
  </documentManagement>
</p:properties>
</file>

<file path=customXml/item3.xml><?xml version="1.0" encoding="utf-8"?>
<?mso-contentType ?>
<SharedContentType xmlns="Microsoft.SharePoint.Taxonomy.ContentTypeSync" SourceId="ca912827-bae3-40cb-8146-7920e969c222" ContentTypeId="0x010100D29348FB8CE8944EBAE2789F1856BAC301"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396F95525D91B64DAA3926128CF6DE39" ma:contentTypeVersion="9" ma:contentTypeDescription="" ma:contentTypeScope="" ma:versionID="deb6cb343182537af01c7fc57bbbc052">
  <xsd:schema xmlns:xsd="http://www.w3.org/2001/XMLSchema" xmlns:xs="http://www.w3.org/2001/XMLSchema" xmlns:p="http://schemas.microsoft.com/office/2006/metadata/properties" xmlns:ns1="http://schemas.microsoft.com/sharepoint/v3" xmlns:ns2="b607a442-3a8b-46cb-8183-2bec4a9e324b" xmlns:ns3="23efb296-447b-4273-b4b4-ca7623c954f2" xmlns:ns4="http://schemas.microsoft.com/sharepoint/v4" targetNamespace="http://schemas.microsoft.com/office/2006/metadata/properties" ma:root="true" ma:fieldsID="4557520bf652d679a994f774c7ac6ad6" ns1:_="" ns2:_="" ns3:_="" ns4:_="">
    <xsd:import namespace="http://schemas.microsoft.com/sharepoint/v3"/>
    <xsd:import namespace="b607a442-3a8b-46cb-8183-2bec4a9e324b"/>
    <xsd:import namespace="23efb296-447b-4273-b4b4-ca7623c954f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Category"/>
                <xsd:element ref="ns3:Status"/>
                <xsd:element ref="ns3:Owner"/>
                <xsd:element ref="ns3:Document_x0020_Ref"/>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vti_ItemDeclaredRecord" ma:index="19" nillable="true" ma:displayName="Declared Record" ma:hidden="true" ma:internalName="_vti_ItemDeclaredRecord" ma:readOnly="true">
      <xsd:simpleType>
        <xsd:restriction base="dms:DateTime"/>
      </xsd:simpleType>
    </xsd:element>
    <xsd:element name="_vti_ItemHoldRecordStatus" ma:index="2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efb296-447b-4273-b4b4-ca7623c954f2" elementFormDefault="qualified">
    <xsd:import namespace="http://schemas.microsoft.com/office/2006/documentManagement/types"/>
    <xsd:import namespace="http://schemas.microsoft.com/office/infopath/2007/PartnerControls"/>
    <xsd:element name="Category" ma:index="14" ma:displayName="Category" ma:format="Dropdown" ma:internalName="Category">
      <xsd:simpleType>
        <xsd:restriction base="dms:Choice">
          <xsd:enumeration value="Contract Management"/>
          <xsd:enumeration value="Contracts and Terms"/>
          <xsd:enumeration value="Other"/>
          <xsd:enumeration value="Procurement Plan and Category Strategy"/>
          <xsd:enumeration value="Standard KCC Templates"/>
          <xsd:enumeration value="Successful and Unsuccessful Letters"/>
          <xsd:enumeration value="Tender Documents"/>
          <xsd:enumeration value="Training and Guidance"/>
          <xsd:enumeration value="KNet"/>
        </xsd:restriction>
      </xsd:simpleType>
    </xsd:element>
    <xsd:element name="Status" ma:index="15" ma:displayName="Status" ma:format="Dropdown" ma:internalName="Status">
      <xsd:simpleType>
        <xsd:restriction base="dms:Choice">
          <xsd:enumeration value="Approved"/>
          <xsd:enumeration value="Draft"/>
          <xsd:enumeration value="Work in Progress"/>
        </xsd:restriction>
      </xsd:simpleType>
    </xsd:element>
    <xsd:element name="Owner" ma:index="16"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Ref" ma:index="17" ma:displayName="Document Ref" ma:description="The document reference. This should be included as a footer in all SSP standard documents and be in the format. &#10;&#10;document name/owner/version date/version number" ma:internalName="Document_x0020_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2B3DE-7AE1-4218-80B6-41331808C543}">
  <ds:schemaRefs>
    <ds:schemaRef ds:uri="http://schemas.microsoft.com/sharepoint/v3/contenttype/forms"/>
  </ds:schemaRefs>
</ds:datastoreItem>
</file>

<file path=customXml/itemProps2.xml><?xml version="1.0" encoding="utf-8"?>
<ds:datastoreItem xmlns:ds="http://schemas.openxmlformats.org/officeDocument/2006/customXml" ds:itemID="{98FDC876-EDC6-4353-BB73-57CAD35C8D4C}">
  <ds:schemaRefs>
    <ds:schemaRef ds:uri="http://schemas.microsoft.com/office/2006/metadata/properties"/>
    <ds:schemaRef ds:uri="http://schemas.microsoft.com/office/infopath/2007/PartnerControls"/>
    <ds:schemaRef ds:uri="23efb296-447b-4273-b4b4-ca7623c954f2"/>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5E9A163-D04B-4D09-86FC-01C03726AAE7}">
  <ds:schemaRefs>
    <ds:schemaRef ds:uri="Microsoft.SharePoint.Taxonomy.ContentTypeSync"/>
  </ds:schemaRefs>
</ds:datastoreItem>
</file>

<file path=customXml/itemProps4.xml><?xml version="1.0" encoding="utf-8"?>
<ds:datastoreItem xmlns:ds="http://schemas.openxmlformats.org/officeDocument/2006/customXml" ds:itemID="{E56EEDF0-0F8E-4FBC-B501-F880DFC5AD32}">
  <ds:schemaRefs>
    <ds:schemaRef ds:uri="http://schemas.microsoft.com/sharepoint/events"/>
  </ds:schemaRefs>
</ds:datastoreItem>
</file>

<file path=customXml/itemProps5.xml><?xml version="1.0" encoding="utf-8"?>
<ds:datastoreItem xmlns:ds="http://schemas.openxmlformats.org/officeDocument/2006/customXml" ds:itemID="{5378BE7C-7A1F-4287-ACA1-FEC7B26ED58E}">
  <ds:schemaRefs>
    <ds:schemaRef ds:uri="office.server.policy"/>
  </ds:schemaRefs>
</ds:datastoreItem>
</file>

<file path=customXml/itemProps6.xml><?xml version="1.0" encoding="utf-8"?>
<ds:datastoreItem xmlns:ds="http://schemas.openxmlformats.org/officeDocument/2006/customXml" ds:itemID="{7B41CC65-5624-422C-B758-232AD768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23efb296-447b-4273-b4b4-ca7623c954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D388746D</Template>
  <TotalTime>0</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Guidance on Writing a Specification v1.0</vt:lpstr>
    </vt:vector>
  </TitlesOfParts>
  <Company>Kent County Council</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Writing a Specification v1.0</dc:title>
  <dc:creator>BeattL01</dc:creator>
  <cp:lastModifiedBy>Flannery, Joanne - ST FP</cp:lastModifiedBy>
  <cp:revision>1</cp:revision>
  <cp:lastPrinted>2012-07-04T13:12:00Z</cp:lastPrinted>
  <dcterms:created xsi:type="dcterms:W3CDTF">2016-11-22T14:55:00Z</dcterms:created>
  <dcterms:modified xsi:type="dcterms:W3CDTF">2016-11-22T14:55:00Z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0x010100D29348FB8CE8944EBAE2789F1856BAC30100396F95525D91B64DAA3926128CF6DE39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