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D6B" w:rsidRPr="00422BFB" w:rsidRDefault="00C608B8">
      <w:pPr>
        <w:rPr>
          <w:rFonts w:ascii="Arial" w:hAnsi="Arial" w:cs="Arial"/>
        </w:rPr>
      </w:pPr>
      <w:bookmarkStart w:id="0" w:name="_GoBack"/>
      <w:bookmarkEnd w:id="0"/>
      <w:r w:rsidRPr="00422BFB">
        <w:rPr>
          <w:rFonts w:ascii="Arial" w:hAnsi="Arial" w:cs="Arial"/>
        </w:rPr>
        <w:t>Website scrutiny</w:t>
      </w:r>
    </w:p>
    <w:tbl>
      <w:tblPr>
        <w:tblStyle w:val="TableGrid"/>
        <w:tblW w:w="0" w:type="auto"/>
        <w:tblLook w:val="04A0" w:firstRow="1" w:lastRow="0" w:firstColumn="1" w:lastColumn="0" w:noHBand="0" w:noVBand="1"/>
      </w:tblPr>
      <w:tblGrid>
        <w:gridCol w:w="4959"/>
        <w:gridCol w:w="4959"/>
      </w:tblGrid>
      <w:tr w:rsidR="00437C09" w:rsidRPr="00422BFB" w:rsidTr="00036B19">
        <w:trPr>
          <w:tblHeader/>
        </w:trPr>
        <w:tc>
          <w:tcPr>
            <w:tcW w:w="4959" w:type="dxa"/>
          </w:tcPr>
          <w:p w:rsidR="00437C09" w:rsidRPr="00422BFB" w:rsidRDefault="00437C09" w:rsidP="00FD3BAB">
            <w:pPr>
              <w:pStyle w:val="legp1paratext1"/>
              <w:spacing w:line="240" w:lineRule="auto"/>
              <w:ind w:firstLine="0"/>
              <w:jc w:val="left"/>
              <w:rPr>
                <w:rStyle w:val="legamendingtext"/>
                <w:rFonts w:ascii="Arial" w:hAnsi="Arial" w:cs="Arial"/>
                <w:b/>
                <w:bCs/>
                <w:sz w:val="22"/>
                <w:szCs w:val="22"/>
                <w:lang w:val="en"/>
              </w:rPr>
            </w:pPr>
            <w:r w:rsidRPr="00FD3BAB">
              <w:rPr>
                <w:rStyle w:val="legamendingtext"/>
                <w:rFonts w:ascii="Arial" w:hAnsi="Arial" w:cs="Arial"/>
                <w:b/>
                <w:bCs/>
                <w:color w:val="auto"/>
                <w:sz w:val="22"/>
                <w:szCs w:val="22"/>
                <w:lang w:val="en"/>
              </w:rPr>
              <w:t>SI 2012 1124</w:t>
            </w:r>
            <w:r w:rsidR="00422BFB" w:rsidRPr="00FD3BAB">
              <w:rPr>
                <w:rStyle w:val="legamendingtext"/>
                <w:rFonts w:ascii="Arial" w:hAnsi="Arial" w:cs="Arial"/>
                <w:b/>
                <w:bCs/>
                <w:color w:val="auto"/>
                <w:sz w:val="22"/>
                <w:szCs w:val="22"/>
                <w:lang w:val="en"/>
              </w:rPr>
              <w:t xml:space="preserve"> </w:t>
            </w:r>
            <w:r w:rsidR="00A76074">
              <w:rPr>
                <w:rStyle w:val="legamendingtext"/>
                <w:rFonts w:ascii="Arial" w:hAnsi="Arial" w:cs="Arial"/>
                <w:b/>
                <w:bCs/>
                <w:color w:val="auto"/>
                <w:sz w:val="22"/>
                <w:szCs w:val="22"/>
                <w:lang w:val="en"/>
              </w:rPr>
              <w:t xml:space="preserve"> Schedule 4 </w:t>
            </w:r>
            <w:r w:rsidR="00422BFB" w:rsidRPr="00FD3BAB">
              <w:rPr>
                <w:rStyle w:val="legamendingtext"/>
                <w:rFonts w:ascii="Arial" w:hAnsi="Arial" w:cs="Arial"/>
                <w:b/>
                <w:bCs/>
                <w:color w:val="auto"/>
                <w:sz w:val="22"/>
                <w:szCs w:val="22"/>
                <w:lang w:val="en"/>
              </w:rPr>
              <w:t>Information to be published on a school’s website</w:t>
            </w:r>
          </w:p>
        </w:tc>
        <w:tc>
          <w:tcPr>
            <w:tcW w:w="4959" w:type="dxa"/>
          </w:tcPr>
          <w:p w:rsidR="00437C09" w:rsidRPr="00422BFB" w:rsidRDefault="00437C09" w:rsidP="00FD3BAB">
            <w:pPr>
              <w:rPr>
                <w:rFonts w:ascii="Arial" w:hAnsi="Arial" w:cs="Arial"/>
              </w:rPr>
            </w:pPr>
          </w:p>
        </w:tc>
      </w:tr>
      <w:tr w:rsidR="00C608B8" w:rsidRPr="00422BFB" w:rsidTr="00036B19">
        <w:tc>
          <w:tcPr>
            <w:tcW w:w="4959" w:type="dxa"/>
          </w:tcPr>
          <w:p w:rsidR="00C608B8" w:rsidRPr="005F5D5F" w:rsidRDefault="00C608B8" w:rsidP="00036B19">
            <w:pPr>
              <w:pStyle w:val="legp1paratext1"/>
              <w:spacing w:line="240" w:lineRule="auto"/>
              <w:ind w:firstLine="0"/>
              <w:jc w:val="left"/>
              <w:rPr>
                <w:rFonts w:ascii="Arial" w:hAnsi="Arial" w:cs="Arial"/>
                <w:color w:val="auto"/>
                <w:sz w:val="22"/>
                <w:szCs w:val="22"/>
                <w:lang w:val="en"/>
              </w:rPr>
            </w:pPr>
            <w:r w:rsidRPr="00436732">
              <w:rPr>
                <w:rStyle w:val="legamendingtext"/>
                <w:rFonts w:ascii="Arial" w:hAnsi="Arial" w:cs="Arial"/>
                <w:b/>
                <w:bCs/>
                <w:color w:val="auto"/>
                <w:sz w:val="22"/>
                <w:szCs w:val="22"/>
                <w:lang w:val="en"/>
              </w:rPr>
              <w:t>1.</w:t>
            </w:r>
            <w:r w:rsidRPr="00436732">
              <w:rPr>
                <w:rFonts w:ascii="Arial" w:hAnsi="Arial" w:cs="Arial"/>
                <w:color w:val="auto"/>
                <w:sz w:val="22"/>
                <w:szCs w:val="22"/>
                <w:lang w:val="en"/>
              </w:rPr>
              <w:t>  </w:t>
            </w:r>
            <w:r w:rsidRPr="00436732">
              <w:rPr>
                <w:rStyle w:val="legamendingtext"/>
                <w:rFonts w:ascii="Arial" w:hAnsi="Arial" w:cs="Arial"/>
                <w:color w:val="auto"/>
                <w:sz w:val="22"/>
                <w:szCs w:val="22"/>
                <w:lang w:val="en"/>
              </w:rPr>
              <w:t xml:space="preserve">The name, postal address and telephone number of the school, </w:t>
            </w:r>
            <w:r w:rsidR="00D46490">
              <w:rPr>
                <w:rStyle w:val="legamendingtext"/>
                <w:rFonts w:ascii="Arial" w:hAnsi="Arial" w:cs="Arial"/>
                <w:color w:val="auto"/>
                <w:sz w:val="22"/>
                <w:szCs w:val="22"/>
                <w:lang w:val="en"/>
              </w:rPr>
              <w:t xml:space="preserve">the name of the headteacher and chair of governors and the </w:t>
            </w:r>
            <w:r w:rsidRPr="00436732">
              <w:rPr>
                <w:rStyle w:val="legamendingtext"/>
                <w:rFonts w:ascii="Arial" w:hAnsi="Arial" w:cs="Arial"/>
                <w:color w:val="auto"/>
                <w:sz w:val="22"/>
                <w:szCs w:val="22"/>
                <w:lang w:val="en"/>
              </w:rPr>
              <w:t>name of a person to whom enquiries should be addressed.</w:t>
            </w:r>
            <w:r w:rsidRPr="00436732">
              <w:rPr>
                <w:rFonts w:ascii="Arial" w:hAnsi="Arial" w:cs="Arial"/>
                <w:color w:val="auto"/>
                <w:sz w:val="22"/>
                <w:szCs w:val="22"/>
                <w:lang w:val="en"/>
              </w:rPr>
              <w:t xml:space="preserve"> </w:t>
            </w:r>
          </w:p>
        </w:tc>
        <w:tc>
          <w:tcPr>
            <w:tcW w:w="4959" w:type="dxa"/>
          </w:tcPr>
          <w:p w:rsidR="00C608B8" w:rsidRPr="00422BFB" w:rsidRDefault="00C608B8">
            <w:pPr>
              <w:rPr>
                <w:rFonts w:ascii="Arial" w:hAnsi="Arial" w:cs="Arial"/>
              </w:rPr>
            </w:pPr>
          </w:p>
        </w:tc>
      </w:tr>
      <w:tr w:rsidR="00C608B8" w:rsidRPr="00422BFB" w:rsidTr="00036B19">
        <w:tc>
          <w:tcPr>
            <w:tcW w:w="4959" w:type="dxa"/>
          </w:tcPr>
          <w:p w:rsidR="00C608B8" w:rsidRPr="00436732" w:rsidRDefault="00C608B8" w:rsidP="00036B19">
            <w:pPr>
              <w:pStyle w:val="legclearfix2"/>
              <w:spacing w:line="240" w:lineRule="auto"/>
              <w:rPr>
                <w:rFonts w:ascii="Arial" w:hAnsi="Arial" w:cs="Arial"/>
                <w:color w:val="auto"/>
                <w:sz w:val="22"/>
                <w:szCs w:val="22"/>
                <w:lang w:val="en"/>
              </w:rPr>
            </w:pPr>
            <w:r w:rsidRPr="00A76074">
              <w:rPr>
                <w:rFonts w:ascii="Arial" w:hAnsi="Arial" w:cs="Arial"/>
                <w:b/>
                <w:bCs/>
                <w:color w:val="auto"/>
                <w:sz w:val="22"/>
                <w:szCs w:val="22"/>
                <w:lang w:val="en"/>
              </w:rPr>
              <w:t>2</w:t>
            </w:r>
            <w:r w:rsidRPr="00436732">
              <w:rPr>
                <w:rFonts w:ascii="Arial" w:hAnsi="Arial" w:cs="Arial"/>
                <w:bCs/>
                <w:color w:val="auto"/>
                <w:sz w:val="22"/>
                <w:szCs w:val="22"/>
                <w:lang w:val="en"/>
              </w:rPr>
              <w:t>.</w:t>
            </w:r>
            <w:r w:rsidRPr="00436732">
              <w:rPr>
                <w:rFonts w:ascii="Arial" w:hAnsi="Arial" w:cs="Arial"/>
                <w:color w:val="auto"/>
                <w:sz w:val="22"/>
                <w:szCs w:val="22"/>
                <w:lang w:val="en"/>
              </w:rPr>
              <w:t xml:space="preserve">  Either— </w:t>
            </w:r>
          </w:p>
          <w:p w:rsidR="00C608B8" w:rsidRPr="00436732" w:rsidRDefault="00C608B8" w:rsidP="00036B19">
            <w:pPr>
              <w:pStyle w:val="legclearfix2"/>
              <w:spacing w:line="240" w:lineRule="auto"/>
              <w:rPr>
                <w:rFonts w:ascii="Arial" w:hAnsi="Arial" w:cs="Arial"/>
                <w:color w:val="auto"/>
                <w:sz w:val="22"/>
                <w:szCs w:val="22"/>
                <w:lang w:val="en"/>
              </w:rPr>
            </w:pPr>
            <w:r w:rsidRPr="00436732">
              <w:rPr>
                <w:rFonts w:ascii="Arial" w:hAnsi="Arial" w:cs="Arial"/>
                <w:color w:val="auto"/>
                <w:sz w:val="22"/>
                <w:szCs w:val="22"/>
                <w:lang w:val="en"/>
              </w:rPr>
              <w:t>(a)</w:t>
            </w:r>
            <w:r w:rsidR="00D46490">
              <w:rPr>
                <w:rFonts w:ascii="Arial" w:hAnsi="Arial" w:cs="Arial"/>
                <w:color w:val="auto"/>
                <w:sz w:val="22"/>
                <w:szCs w:val="22"/>
                <w:lang w:val="en"/>
              </w:rPr>
              <w:t xml:space="preserve"> </w:t>
            </w:r>
            <w:r w:rsidRPr="00436732">
              <w:rPr>
                <w:rFonts w:ascii="Arial" w:hAnsi="Arial" w:cs="Arial"/>
                <w:color w:val="auto"/>
                <w:sz w:val="22"/>
                <w:szCs w:val="22"/>
                <w:lang w:val="en"/>
              </w:rPr>
              <w:t xml:space="preserve">the determined admission arrangements for the school in relation to each relevant age group at the school, including any arrangements for selection, any oversubscription criteria and an explanation of the process of applying for a school place; or </w:t>
            </w:r>
          </w:p>
          <w:p w:rsidR="00C608B8" w:rsidRPr="00436732" w:rsidRDefault="00C608B8" w:rsidP="00036B19">
            <w:pPr>
              <w:pStyle w:val="legclearfix2"/>
              <w:spacing w:line="240" w:lineRule="auto"/>
              <w:rPr>
                <w:rFonts w:ascii="Arial" w:hAnsi="Arial" w:cs="Arial"/>
                <w:color w:val="auto"/>
                <w:sz w:val="22"/>
                <w:szCs w:val="22"/>
                <w:lang w:val="en"/>
              </w:rPr>
            </w:pPr>
            <w:r w:rsidRPr="00436732">
              <w:rPr>
                <w:rFonts w:ascii="Arial" w:hAnsi="Arial" w:cs="Arial"/>
                <w:color w:val="auto"/>
                <w:sz w:val="22"/>
                <w:szCs w:val="22"/>
                <w:lang w:val="en"/>
              </w:rPr>
              <w:t>(b)</w:t>
            </w:r>
            <w:r w:rsidR="00D46490">
              <w:rPr>
                <w:rFonts w:ascii="Arial" w:hAnsi="Arial" w:cs="Arial"/>
                <w:color w:val="auto"/>
                <w:sz w:val="22"/>
                <w:szCs w:val="22"/>
                <w:lang w:val="en"/>
              </w:rPr>
              <w:t xml:space="preserve"> </w:t>
            </w:r>
            <w:r w:rsidRPr="00436732">
              <w:rPr>
                <w:rFonts w:ascii="Arial" w:hAnsi="Arial" w:cs="Arial"/>
                <w:color w:val="auto"/>
                <w:sz w:val="22"/>
                <w:szCs w:val="22"/>
                <w:lang w:val="en"/>
              </w:rPr>
              <w:t>information as to where and by what means parents may access that information in the local authority’s composite prospectus published on their website.</w:t>
            </w:r>
          </w:p>
        </w:tc>
        <w:tc>
          <w:tcPr>
            <w:tcW w:w="4959" w:type="dxa"/>
          </w:tcPr>
          <w:p w:rsidR="00C608B8" w:rsidRPr="00422BFB" w:rsidRDefault="00C608B8">
            <w:pPr>
              <w:rPr>
                <w:rFonts w:ascii="Arial" w:hAnsi="Arial" w:cs="Arial"/>
              </w:rPr>
            </w:pPr>
          </w:p>
        </w:tc>
      </w:tr>
      <w:tr w:rsidR="00C608B8" w:rsidRPr="00422BFB" w:rsidTr="00036B19">
        <w:tc>
          <w:tcPr>
            <w:tcW w:w="4959" w:type="dxa"/>
          </w:tcPr>
          <w:p w:rsidR="00C608B8" w:rsidRPr="00436732" w:rsidRDefault="00C608B8" w:rsidP="00036B19">
            <w:pPr>
              <w:rPr>
                <w:rFonts w:ascii="Arial" w:hAnsi="Arial" w:cs="Arial"/>
                <w:lang w:val="en"/>
              </w:rPr>
            </w:pPr>
            <w:r w:rsidRPr="00A76074">
              <w:rPr>
                <w:rFonts w:ascii="Arial" w:hAnsi="Arial" w:cs="Arial"/>
                <w:b/>
                <w:bCs/>
                <w:lang w:val="en"/>
              </w:rPr>
              <w:t>3</w:t>
            </w:r>
            <w:r w:rsidRPr="00436732">
              <w:rPr>
                <w:rFonts w:ascii="Arial" w:hAnsi="Arial" w:cs="Arial"/>
                <w:bCs/>
                <w:lang w:val="en"/>
              </w:rPr>
              <w:t>.</w:t>
            </w:r>
            <w:r w:rsidRPr="00436732">
              <w:rPr>
                <w:rFonts w:ascii="Arial" w:hAnsi="Arial" w:cs="Arial"/>
                <w:lang w:val="en"/>
              </w:rPr>
              <w:t xml:space="preserve">  Information as to where and by what means parents may access the most recent </w:t>
            </w:r>
            <w:r w:rsidR="00D46490">
              <w:rPr>
                <w:rFonts w:ascii="Arial" w:hAnsi="Arial" w:cs="Arial"/>
                <w:lang w:val="en"/>
              </w:rPr>
              <w:t xml:space="preserve">Ofsted inspection </w:t>
            </w:r>
            <w:r w:rsidRPr="00436732">
              <w:rPr>
                <w:rFonts w:ascii="Arial" w:hAnsi="Arial" w:cs="Arial"/>
                <w:lang w:val="en"/>
              </w:rPr>
              <w:t xml:space="preserve">report about the school published by her Majesty’s Chief Inspector of Education, Children’s Services and Skills. </w:t>
            </w:r>
          </w:p>
          <w:p w:rsidR="00C608B8" w:rsidRPr="00436732" w:rsidRDefault="00C608B8" w:rsidP="00036B19">
            <w:pPr>
              <w:rPr>
                <w:rFonts w:ascii="Arial" w:hAnsi="Arial" w:cs="Arial"/>
              </w:rPr>
            </w:pPr>
          </w:p>
        </w:tc>
        <w:tc>
          <w:tcPr>
            <w:tcW w:w="4959" w:type="dxa"/>
          </w:tcPr>
          <w:p w:rsidR="00C608B8" w:rsidRPr="00422BFB" w:rsidRDefault="00C608B8">
            <w:pPr>
              <w:rPr>
                <w:rFonts w:ascii="Arial" w:hAnsi="Arial" w:cs="Arial"/>
              </w:rPr>
            </w:pPr>
          </w:p>
        </w:tc>
      </w:tr>
      <w:tr w:rsidR="00C608B8" w:rsidRPr="00422BFB" w:rsidTr="00036B19">
        <w:tc>
          <w:tcPr>
            <w:tcW w:w="4959" w:type="dxa"/>
          </w:tcPr>
          <w:p w:rsidR="00C608B8" w:rsidRPr="00436732" w:rsidRDefault="00C608B8" w:rsidP="00036B19">
            <w:pPr>
              <w:rPr>
                <w:rFonts w:ascii="Arial" w:hAnsi="Arial" w:cs="Arial"/>
                <w:lang w:val="en"/>
              </w:rPr>
            </w:pPr>
            <w:r w:rsidRPr="00A76074">
              <w:rPr>
                <w:rFonts w:ascii="Arial" w:hAnsi="Arial" w:cs="Arial"/>
                <w:b/>
                <w:bCs/>
                <w:lang w:val="en"/>
              </w:rPr>
              <w:t>4</w:t>
            </w:r>
            <w:r w:rsidRPr="00436732">
              <w:rPr>
                <w:rFonts w:ascii="Arial" w:hAnsi="Arial" w:cs="Arial"/>
                <w:bCs/>
                <w:lang w:val="en"/>
              </w:rPr>
              <w:t>.</w:t>
            </w:r>
            <w:r w:rsidRPr="00436732">
              <w:rPr>
                <w:rFonts w:ascii="Arial" w:hAnsi="Arial" w:cs="Arial"/>
                <w:lang w:val="en"/>
              </w:rPr>
              <w:t xml:space="preserve">  The school’s most recent key stage 2 results as published by the Secretary of State under the following column headings in the School Performance Tables published on the Department for Education’s website: </w:t>
            </w:r>
          </w:p>
          <w:p w:rsidR="00C608B8" w:rsidRPr="00436732" w:rsidRDefault="00C608B8" w:rsidP="00036B19">
            <w:pPr>
              <w:rPr>
                <w:rFonts w:ascii="Arial" w:hAnsi="Arial" w:cs="Arial"/>
                <w:lang w:val="en"/>
              </w:rPr>
            </w:pPr>
            <w:r w:rsidRPr="00436732">
              <w:rPr>
                <w:rFonts w:ascii="Arial" w:hAnsi="Arial" w:cs="Arial"/>
                <w:lang w:val="en"/>
              </w:rPr>
              <w:t xml:space="preserve">(a)“% achieving Level 4 or above in English and </w:t>
            </w:r>
            <w:proofErr w:type="spellStart"/>
            <w:r w:rsidRPr="00436732">
              <w:rPr>
                <w:rFonts w:ascii="Arial" w:hAnsi="Arial" w:cs="Arial"/>
                <w:lang w:val="en"/>
              </w:rPr>
              <w:t>Maths</w:t>
            </w:r>
            <w:proofErr w:type="spellEnd"/>
            <w:r w:rsidRPr="00436732">
              <w:rPr>
                <w:rFonts w:ascii="Arial" w:hAnsi="Arial" w:cs="Arial"/>
                <w:lang w:val="en"/>
              </w:rPr>
              <w:t xml:space="preserve">”; </w:t>
            </w:r>
          </w:p>
          <w:p w:rsidR="00C608B8" w:rsidRPr="00436732" w:rsidRDefault="00C608B8" w:rsidP="00036B19">
            <w:pPr>
              <w:rPr>
                <w:rFonts w:ascii="Arial" w:hAnsi="Arial" w:cs="Arial"/>
                <w:lang w:val="en"/>
              </w:rPr>
            </w:pPr>
            <w:r w:rsidRPr="00436732">
              <w:rPr>
                <w:rFonts w:ascii="Arial" w:hAnsi="Arial" w:cs="Arial"/>
                <w:lang w:val="en"/>
              </w:rPr>
              <w:t xml:space="preserve">(b)“% making expected progress”; </w:t>
            </w:r>
          </w:p>
          <w:p w:rsidR="00C608B8" w:rsidRPr="00436732" w:rsidRDefault="00C608B8" w:rsidP="00036B19">
            <w:pPr>
              <w:rPr>
                <w:rFonts w:ascii="Arial" w:hAnsi="Arial" w:cs="Arial"/>
                <w:lang w:val="en"/>
              </w:rPr>
            </w:pPr>
            <w:r w:rsidRPr="00436732">
              <w:rPr>
                <w:rFonts w:ascii="Arial" w:hAnsi="Arial" w:cs="Arial"/>
                <w:lang w:val="en"/>
              </w:rPr>
              <w:t>(c)</w:t>
            </w:r>
            <w:r w:rsidR="00D46490">
              <w:rPr>
                <w:rFonts w:ascii="Arial" w:hAnsi="Arial" w:cs="Arial"/>
                <w:lang w:val="en"/>
              </w:rPr>
              <w:t xml:space="preserve"> </w:t>
            </w:r>
            <w:r w:rsidRPr="00436732">
              <w:rPr>
                <w:rFonts w:ascii="Arial" w:hAnsi="Arial" w:cs="Arial"/>
                <w:lang w:val="en"/>
              </w:rPr>
              <w:t xml:space="preserve">in relation to English, “% achieving Level 5 or above”; and </w:t>
            </w:r>
          </w:p>
          <w:p w:rsidR="00C608B8" w:rsidRDefault="00C608B8" w:rsidP="00036B19">
            <w:pPr>
              <w:rPr>
                <w:rFonts w:ascii="Arial" w:hAnsi="Arial" w:cs="Arial"/>
                <w:lang w:val="en"/>
              </w:rPr>
            </w:pPr>
            <w:r w:rsidRPr="00436732">
              <w:rPr>
                <w:rFonts w:ascii="Arial" w:hAnsi="Arial" w:cs="Arial"/>
                <w:lang w:val="en"/>
              </w:rPr>
              <w:t>(d)</w:t>
            </w:r>
            <w:r w:rsidR="00D46490">
              <w:rPr>
                <w:rFonts w:ascii="Arial" w:hAnsi="Arial" w:cs="Arial"/>
                <w:lang w:val="en"/>
              </w:rPr>
              <w:t xml:space="preserve"> </w:t>
            </w:r>
            <w:r w:rsidRPr="00436732">
              <w:rPr>
                <w:rFonts w:ascii="Arial" w:hAnsi="Arial" w:cs="Arial"/>
                <w:lang w:val="en"/>
              </w:rPr>
              <w:t xml:space="preserve">in relation to </w:t>
            </w:r>
            <w:proofErr w:type="spellStart"/>
            <w:r w:rsidRPr="00436732">
              <w:rPr>
                <w:rFonts w:ascii="Arial" w:hAnsi="Arial" w:cs="Arial"/>
                <w:lang w:val="en"/>
              </w:rPr>
              <w:t>Maths</w:t>
            </w:r>
            <w:proofErr w:type="spellEnd"/>
            <w:r w:rsidRPr="00436732">
              <w:rPr>
                <w:rFonts w:ascii="Arial" w:hAnsi="Arial" w:cs="Arial"/>
                <w:lang w:val="en"/>
              </w:rPr>
              <w:t>, “% achieving Level 5 or above”.</w:t>
            </w:r>
          </w:p>
          <w:p w:rsidR="005F5D5F" w:rsidRPr="00436732" w:rsidRDefault="005F5D5F" w:rsidP="00036B19">
            <w:pPr>
              <w:rPr>
                <w:rFonts w:ascii="Arial" w:hAnsi="Arial" w:cs="Arial"/>
                <w:lang w:val="en"/>
              </w:rPr>
            </w:pPr>
          </w:p>
        </w:tc>
        <w:tc>
          <w:tcPr>
            <w:tcW w:w="4959" w:type="dxa"/>
          </w:tcPr>
          <w:p w:rsidR="00C608B8" w:rsidRPr="00422BFB" w:rsidRDefault="00C608B8">
            <w:pPr>
              <w:rPr>
                <w:rFonts w:ascii="Arial" w:hAnsi="Arial" w:cs="Arial"/>
              </w:rPr>
            </w:pPr>
          </w:p>
        </w:tc>
      </w:tr>
      <w:tr w:rsidR="00C608B8" w:rsidRPr="00422BFB" w:rsidTr="00036B19">
        <w:tc>
          <w:tcPr>
            <w:tcW w:w="4959" w:type="dxa"/>
          </w:tcPr>
          <w:p w:rsidR="00C608B8" w:rsidRPr="00436732" w:rsidRDefault="00C608B8" w:rsidP="00036B19">
            <w:pPr>
              <w:rPr>
                <w:rFonts w:ascii="Arial" w:hAnsi="Arial" w:cs="Arial"/>
                <w:lang w:val="en"/>
              </w:rPr>
            </w:pPr>
            <w:r w:rsidRPr="00A76074">
              <w:rPr>
                <w:rFonts w:ascii="Arial" w:hAnsi="Arial" w:cs="Arial"/>
                <w:b/>
                <w:bCs/>
                <w:lang w:val="en"/>
              </w:rPr>
              <w:t>5</w:t>
            </w:r>
            <w:r w:rsidRPr="00436732">
              <w:rPr>
                <w:rFonts w:ascii="Arial" w:hAnsi="Arial" w:cs="Arial"/>
                <w:bCs/>
                <w:lang w:val="en"/>
              </w:rPr>
              <w:t>.</w:t>
            </w:r>
            <w:r w:rsidRPr="00436732">
              <w:rPr>
                <w:rFonts w:ascii="Arial" w:hAnsi="Arial" w:cs="Arial"/>
                <w:lang w:val="en"/>
              </w:rPr>
              <w:t xml:space="preserve">  The school’s most recent key stage 4 results as published by the Secretary of State under the following column headings in the School Performance Tables published on the Department for Education’s website: </w:t>
            </w:r>
          </w:p>
          <w:p w:rsidR="00C608B8" w:rsidRPr="00436732" w:rsidRDefault="00C608B8" w:rsidP="00036B19">
            <w:pPr>
              <w:rPr>
                <w:rFonts w:ascii="Arial" w:hAnsi="Arial" w:cs="Arial"/>
                <w:lang w:val="en"/>
              </w:rPr>
            </w:pPr>
            <w:r w:rsidRPr="00436732">
              <w:rPr>
                <w:rFonts w:ascii="Arial" w:hAnsi="Arial" w:cs="Arial"/>
                <w:lang w:val="en"/>
              </w:rPr>
              <w:t xml:space="preserve">(a)“% achieving 5 + A* - C GCSEs (or equivalent) including English and </w:t>
            </w:r>
            <w:proofErr w:type="spellStart"/>
            <w:r w:rsidRPr="00436732">
              <w:rPr>
                <w:rFonts w:ascii="Arial" w:hAnsi="Arial" w:cs="Arial"/>
                <w:lang w:val="en"/>
              </w:rPr>
              <w:t>Maths</w:t>
            </w:r>
            <w:proofErr w:type="spellEnd"/>
            <w:r w:rsidRPr="00436732">
              <w:rPr>
                <w:rFonts w:ascii="Arial" w:hAnsi="Arial" w:cs="Arial"/>
                <w:lang w:val="en"/>
              </w:rPr>
              <w:t xml:space="preserve"> GCSEs”; </w:t>
            </w:r>
          </w:p>
          <w:p w:rsidR="00C608B8" w:rsidRPr="00436732" w:rsidRDefault="00C608B8" w:rsidP="00036B19">
            <w:pPr>
              <w:rPr>
                <w:rFonts w:ascii="Arial" w:hAnsi="Arial" w:cs="Arial"/>
                <w:lang w:val="en"/>
              </w:rPr>
            </w:pPr>
            <w:r w:rsidRPr="00436732">
              <w:rPr>
                <w:rFonts w:ascii="Arial" w:hAnsi="Arial" w:cs="Arial"/>
                <w:lang w:val="en"/>
              </w:rPr>
              <w:t xml:space="preserve">(b)“% achieving the English Baccalaureate”; and </w:t>
            </w:r>
          </w:p>
          <w:p w:rsidR="00C608B8" w:rsidRPr="00436732" w:rsidRDefault="00C608B8" w:rsidP="00036B19">
            <w:pPr>
              <w:rPr>
                <w:rFonts w:ascii="Arial" w:hAnsi="Arial" w:cs="Arial"/>
                <w:lang w:val="en"/>
              </w:rPr>
            </w:pPr>
            <w:r w:rsidRPr="00436732">
              <w:rPr>
                <w:rFonts w:ascii="Arial" w:hAnsi="Arial" w:cs="Arial"/>
                <w:lang w:val="en"/>
              </w:rPr>
              <w:t>(c)“% of pupils making expected progress”.</w:t>
            </w:r>
          </w:p>
          <w:p w:rsidR="00C608B8" w:rsidRDefault="00C608B8" w:rsidP="00036B19">
            <w:pPr>
              <w:rPr>
                <w:rFonts w:ascii="Arial" w:hAnsi="Arial" w:cs="Arial"/>
              </w:rPr>
            </w:pPr>
          </w:p>
          <w:p w:rsidR="00A76074" w:rsidRPr="00436732" w:rsidRDefault="00A76074" w:rsidP="00036B19">
            <w:pPr>
              <w:rPr>
                <w:rFonts w:ascii="Arial" w:hAnsi="Arial" w:cs="Arial"/>
              </w:rPr>
            </w:pPr>
          </w:p>
        </w:tc>
        <w:tc>
          <w:tcPr>
            <w:tcW w:w="4959" w:type="dxa"/>
          </w:tcPr>
          <w:p w:rsidR="00C608B8" w:rsidRPr="00422BFB" w:rsidRDefault="00C608B8">
            <w:pPr>
              <w:rPr>
                <w:rFonts w:ascii="Arial" w:hAnsi="Arial" w:cs="Arial"/>
              </w:rPr>
            </w:pPr>
          </w:p>
        </w:tc>
      </w:tr>
      <w:tr w:rsidR="00C608B8" w:rsidRPr="00422BFB" w:rsidTr="00036B19">
        <w:tc>
          <w:tcPr>
            <w:tcW w:w="4959" w:type="dxa"/>
          </w:tcPr>
          <w:p w:rsidR="00C608B8" w:rsidRDefault="00C608B8" w:rsidP="00036B19">
            <w:pPr>
              <w:rPr>
                <w:rFonts w:ascii="Arial" w:hAnsi="Arial" w:cs="Arial"/>
                <w:lang w:val="en"/>
              </w:rPr>
            </w:pPr>
            <w:r w:rsidRPr="00A76074">
              <w:rPr>
                <w:rFonts w:ascii="Arial" w:hAnsi="Arial" w:cs="Arial"/>
                <w:b/>
                <w:bCs/>
                <w:lang w:val="en"/>
              </w:rPr>
              <w:t>6</w:t>
            </w:r>
            <w:r w:rsidRPr="00436732">
              <w:rPr>
                <w:rFonts w:ascii="Arial" w:hAnsi="Arial" w:cs="Arial"/>
                <w:bCs/>
                <w:lang w:val="en"/>
              </w:rPr>
              <w:t>.</w:t>
            </w:r>
            <w:r w:rsidRPr="00436732">
              <w:rPr>
                <w:rFonts w:ascii="Arial" w:hAnsi="Arial" w:cs="Arial"/>
                <w:lang w:val="en"/>
              </w:rPr>
              <w:t>  Information as to where and by what means parents may access the School Performance Tables published by the Secretary of State on the Department for Education’s website.</w:t>
            </w:r>
          </w:p>
          <w:p w:rsidR="005F5D5F" w:rsidRPr="00436732" w:rsidRDefault="005F5D5F" w:rsidP="00036B19">
            <w:pPr>
              <w:rPr>
                <w:rFonts w:ascii="Arial" w:hAnsi="Arial" w:cs="Arial"/>
              </w:rPr>
            </w:pPr>
          </w:p>
        </w:tc>
        <w:tc>
          <w:tcPr>
            <w:tcW w:w="4959" w:type="dxa"/>
          </w:tcPr>
          <w:p w:rsidR="00C608B8" w:rsidRPr="00422BFB" w:rsidRDefault="00C608B8">
            <w:pPr>
              <w:rPr>
                <w:rFonts w:ascii="Arial" w:hAnsi="Arial" w:cs="Arial"/>
              </w:rPr>
            </w:pPr>
          </w:p>
        </w:tc>
      </w:tr>
      <w:tr w:rsidR="00C608B8" w:rsidRPr="00422BFB" w:rsidTr="00036B19">
        <w:tc>
          <w:tcPr>
            <w:tcW w:w="4959" w:type="dxa"/>
          </w:tcPr>
          <w:p w:rsidR="00C608B8" w:rsidRPr="00436732" w:rsidRDefault="00C608B8" w:rsidP="00036B19">
            <w:pPr>
              <w:rPr>
                <w:rFonts w:ascii="Arial" w:hAnsi="Arial" w:cs="Arial"/>
                <w:lang w:val="en"/>
              </w:rPr>
            </w:pPr>
            <w:r w:rsidRPr="00A76074">
              <w:rPr>
                <w:rFonts w:ascii="Arial" w:hAnsi="Arial" w:cs="Arial"/>
                <w:b/>
                <w:bCs/>
                <w:lang w:val="en"/>
              </w:rPr>
              <w:lastRenderedPageBreak/>
              <w:t>7</w:t>
            </w:r>
            <w:r w:rsidRPr="00436732">
              <w:rPr>
                <w:rFonts w:ascii="Arial" w:hAnsi="Arial" w:cs="Arial"/>
                <w:bCs/>
                <w:lang w:val="en"/>
              </w:rPr>
              <w:t>.</w:t>
            </w:r>
            <w:r w:rsidRPr="00436732">
              <w:rPr>
                <w:rFonts w:ascii="Arial" w:hAnsi="Arial" w:cs="Arial"/>
                <w:lang w:val="en"/>
              </w:rPr>
              <w:t xml:space="preserve">  The following information about the school curriculum— </w:t>
            </w:r>
          </w:p>
          <w:p w:rsidR="00C608B8" w:rsidRPr="00436732" w:rsidRDefault="00C608B8" w:rsidP="00036B19">
            <w:pPr>
              <w:rPr>
                <w:rFonts w:ascii="Arial" w:hAnsi="Arial" w:cs="Arial"/>
                <w:lang w:val="en"/>
              </w:rPr>
            </w:pPr>
            <w:r w:rsidRPr="00436732">
              <w:rPr>
                <w:rFonts w:ascii="Arial" w:hAnsi="Arial" w:cs="Arial"/>
                <w:lang w:val="en"/>
              </w:rPr>
              <w:t xml:space="preserve">(a)in relation to each academic year, the content of the curriculum followed by the school for each subject and details as to how additional information relating to the curriculum may be obtained; </w:t>
            </w:r>
          </w:p>
          <w:p w:rsidR="00C608B8" w:rsidRPr="00436732" w:rsidRDefault="00C608B8" w:rsidP="00036B19">
            <w:pPr>
              <w:rPr>
                <w:rFonts w:ascii="Arial" w:hAnsi="Arial" w:cs="Arial"/>
                <w:lang w:val="en"/>
              </w:rPr>
            </w:pPr>
            <w:r w:rsidRPr="00436732">
              <w:rPr>
                <w:rFonts w:ascii="Arial" w:hAnsi="Arial" w:cs="Arial"/>
                <w:lang w:val="en"/>
              </w:rPr>
              <w:t xml:space="preserve">(b)in relation to key stage 1, the names of any phonics or reading schemes in operation; and </w:t>
            </w:r>
          </w:p>
          <w:p w:rsidR="00C608B8" w:rsidRPr="00436732" w:rsidRDefault="00C608B8" w:rsidP="00036B19">
            <w:pPr>
              <w:rPr>
                <w:rFonts w:ascii="Arial" w:hAnsi="Arial" w:cs="Arial"/>
                <w:lang w:val="en"/>
              </w:rPr>
            </w:pPr>
            <w:r w:rsidRPr="00436732">
              <w:rPr>
                <w:rFonts w:ascii="Arial" w:hAnsi="Arial" w:cs="Arial"/>
                <w:lang w:val="en"/>
              </w:rPr>
              <w:t>(c)</w:t>
            </w:r>
            <w:r w:rsidR="00D46490">
              <w:rPr>
                <w:rFonts w:ascii="Arial" w:hAnsi="Arial" w:cs="Arial"/>
                <w:lang w:val="en"/>
              </w:rPr>
              <w:t xml:space="preserve"> </w:t>
            </w:r>
            <w:r w:rsidRPr="00436732">
              <w:rPr>
                <w:rFonts w:ascii="Arial" w:hAnsi="Arial" w:cs="Arial"/>
                <w:lang w:val="en"/>
              </w:rPr>
              <w:t xml:space="preserve">in relation to key stage 4— </w:t>
            </w:r>
          </w:p>
          <w:p w:rsidR="00C608B8" w:rsidRPr="00436732" w:rsidRDefault="00C608B8" w:rsidP="00036B19">
            <w:pPr>
              <w:rPr>
                <w:rFonts w:ascii="Arial" w:hAnsi="Arial" w:cs="Arial"/>
                <w:lang w:val="en"/>
              </w:rPr>
            </w:pPr>
            <w:r w:rsidRPr="00436732">
              <w:rPr>
                <w:rFonts w:ascii="Arial" w:hAnsi="Arial" w:cs="Arial"/>
                <w:lang w:val="en"/>
              </w:rPr>
              <w:t>(</w:t>
            </w:r>
            <w:proofErr w:type="spellStart"/>
            <w:r w:rsidRPr="00436732">
              <w:rPr>
                <w:rFonts w:ascii="Arial" w:hAnsi="Arial" w:cs="Arial"/>
                <w:lang w:val="en"/>
              </w:rPr>
              <w:t>i</w:t>
            </w:r>
            <w:proofErr w:type="spellEnd"/>
            <w:r w:rsidRPr="00436732">
              <w:rPr>
                <w:rFonts w:ascii="Arial" w:hAnsi="Arial" w:cs="Arial"/>
                <w:lang w:val="en"/>
              </w:rPr>
              <w:t>)</w:t>
            </w:r>
            <w:r w:rsidR="00D46490">
              <w:rPr>
                <w:rFonts w:ascii="Arial" w:hAnsi="Arial" w:cs="Arial"/>
                <w:lang w:val="en"/>
              </w:rPr>
              <w:t xml:space="preserve"> </w:t>
            </w:r>
            <w:r w:rsidRPr="00436732">
              <w:rPr>
                <w:rFonts w:ascii="Arial" w:hAnsi="Arial" w:cs="Arial"/>
                <w:lang w:val="en"/>
              </w:rPr>
              <w:t xml:space="preserve">a list of the courses provided which lead to a GCSE qualification, </w:t>
            </w:r>
          </w:p>
          <w:p w:rsidR="00C608B8" w:rsidRPr="00436732" w:rsidRDefault="00C608B8" w:rsidP="00036B19">
            <w:pPr>
              <w:rPr>
                <w:rFonts w:ascii="Arial" w:hAnsi="Arial" w:cs="Arial"/>
                <w:lang w:val="en"/>
              </w:rPr>
            </w:pPr>
            <w:r w:rsidRPr="00436732">
              <w:rPr>
                <w:rFonts w:ascii="Arial" w:hAnsi="Arial" w:cs="Arial"/>
                <w:lang w:val="en"/>
              </w:rPr>
              <w:t>(ii)</w:t>
            </w:r>
            <w:r w:rsidR="00D46490">
              <w:rPr>
                <w:rFonts w:ascii="Arial" w:hAnsi="Arial" w:cs="Arial"/>
                <w:lang w:val="en"/>
              </w:rPr>
              <w:t xml:space="preserve"> </w:t>
            </w:r>
            <w:r w:rsidRPr="00436732">
              <w:rPr>
                <w:rFonts w:ascii="Arial" w:hAnsi="Arial" w:cs="Arial"/>
                <w:lang w:val="en"/>
              </w:rPr>
              <w:t>a list of other courses offered at key stage 4 and the qualifications that may be acquired.</w:t>
            </w:r>
          </w:p>
          <w:p w:rsidR="00C608B8" w:rsidRPr="00436732" w:rsidRDefault="00C608B8" w:rsidP="00036B19">
            <w:pPr>
              <w:rPr>
                <w:rFonts w:ascii="Arial" w:hAnsi="Arial" w:cs="Arial"/>
              </w:rPr>
            </w:pPr>
          </w:p>
        </w:tc>
        <w:tc>
          <w:tcPr>
            <w:tcW w:w="4959" w:type="dxa"/>
          </w:tcPr>
          <w:p w:rsidR="00C608B8" w:rsidRPr="00422BFB" w:rsidRDefault="00C608B8">
            <w:pPr>
              <w:rPr>
                <w:rFonts w:ascii="Arial" w:hAnsi="Arial" w:cs="Arial"/>
              </w:rPr>
            </w:pPr>
          </w:p>
        </w:tc>
      </w:tr>
      <w:tr w:rsidR="00C608B8" w:rsidRPr="00422BFB" w:rsidTr="00036B19">
        <w:tc>
          <w:tcPr>
            <w:tcW w:w="4959" w:type="dxa"/>
          </w:tcPr>
          <w:p w:rsidR="00C608B8" w:rsidRPr="00436732" w:rsidRDefault="00C608B8" w:rsidP="00036B19">
            <w:pPr>
              <w:rPr>
                <w:rFonts w:ascii="Arial" w:hAnsi="Arial" w:cs="Arial"/>
                <w:lang w:val="en"/>
              </w:rPr>
            </w:pPr>
            <w:r w:rsidRPr="00A76074">
              <w:rPr>
                <w:rFonts w:ascii="Arial" w:hAnsi="Arial" w:cs="Arial"/>
                <w:b/>
                <w:bCs/>
                <w:lang w:val="en"/>
              </w:rPr>
              <w:t>8.</w:t>
            </w:r>
            <w:r w:rsidRPr="00436732">
              <w:rPr>
                <w:rFonts w:ascii="Arial" w:hAnsi="Arial" w:cs="Arial"/>
                <w:lang w:val="en"/>
              </w:rPr>
              <w:t xml:space="preserve">  The measures determined by the head teacher under section 89 of the Education and Inspections Act 2006 (determination by head teacher of </w:t>
            </w:r>
            <w:proofErr w:type="spellStart"/>
            <w:r w:rsidRPr="00436732">
              <w:rPr>
                <w:rFonts w:ascii="Arial" w:hAnsi="Arial" w:cs="Arial"/>
                <w:lang w:val="en"/>
              </w:rPr>
              <w:t>behaviour</w:t>
            </w:r>
            <w:proofErr w:type="spellEnd"/>
            <w:r w:rsidRPr="00436732">
              <w:rPr>
                <w:rFonts w:ascii="Arial" w:hAnsi="Arial" w:cs="Arial"/>
                <w:lang w:val="en"/>
              </w:rPr>
              <w:t xml:space="preserve"> policy)(</w:t>
            </w:r>
            <w:hyperlink r:id="rId5" w:anchor="f00004" w:tooltip="Go to footnote 4" w:history="1">
              <w:r w:rsidRPr="005F5D5F">
                <w:rPr>
                  <w:rStyle w:val="Hyperlink"/>
                  <w:rFonts w:ascii="Arial" w:hAnsi="Arial" w:cs="Arial"/>
                  <w:bCs/>
                  <w:color w:val="002060"/>
                  <w:lang w:val="en"/>
                </w:rPr>
                <w:t>4</w:t>
              </w:r>
            </w:hyperlink>
            <w:r w:rsidRPr="00436732">
              <w:rPr>
                <w:rFonts w:ascii="Arial" w:hAnsi="Arial" w:cs="Arial"/>
                <w:lang w:val="en"/>
              </w:rPr>
              <w:t xml:space="preserve">). </w:t>
            </w:r>
          </w:p>
          <w:p w:rsidR="00C608B8" w:rsidRPr="00436732" w:rsidRDefault="00C608B8" w:rsidP="00036B19">
            <w:pPr>
              <w:rPr>
                <w:rFonts w:ascii="Arial" w:hAnsi="Arial" w:cs="Arial"/>
                <w:lang w:val="en"/>
              </w:rPr>
            </w:pPr>
            <w:r w:rsidRPr="00436732">
              <w:rPr>
                <w:rFonts w:ascii="Arial" w:hAnsi="Arial" w:cs="Arial"/>
                <w:lang w:val="en"/>
              </w:rPr>
              <w:t>(</w:t>
            </w:r>
            <w:r w:rsidRPr="00436732">
              <w:rPr>
                <w:rFonts w:ascii="Arial" w:hAnsi="Arial" w:cs="Arial"/>
                <w:bCs/>
                <w:lang w:val="en"/>
              </w:rPr>
              <w:t>4</w:t>
            </w:r>
            <w:r w:rsidRPr="00436732">
              <w:rPr>
                <w:rFonts w:ascii="Arial" w:hAnsi="Arial" w:cs="Arial"/>
                <w:lang w:val="en"/>
              </w:rPr>
              <w:t>)</w:t>
            </w:r>
          </w:p>
          <w:p w:rsidR="00C608B8" w:rsidRPr="00436732" w:rsidRDefault="00036B19" w:rsidP="00036B19">
            <w:pPr>
              <w:rPr>
                <w:rFonts w:ascii="Arial" w:hAnsi="Arial" w:cs="Arial"/>
                <w:lang w:val="en"/>
              </w:rPr>
            </w:pPr>
            <w:hyperlink r:id="rId6" w:tooltip="Go to item of legislation" w:history="1">
              <w:r w:rsidR="00C608B8" w:rsidRPr="005F5D5F">
                <w:rPr>
                  <w:rStyle w:val="Hyperlink"/>
                  <w:rFonts w:ascii="Arial" w:hAnsi="Arial" w:cs="Arial"/>
                  <w:color w:val="002060"/>
                  <w:lang w:val="en"/>
                </w:rPr>
                <w:t>2006 c.40</w:t>
              </w:r>
            </w:hyperlink>
            <w:r w:rsidR="00C608B8" w:rsidRPr="00436732">
              <w:rPr>
                <w:rFonts w:ascii="Arial" w:hAnsi="Arial" w:cs="Arial"/>
                <w:lang w:val="en"/>
              </w:rPr>
              <w:t xml:space="preserve">. Section 89 sets out the responsibilities of the head teacher for establishing and maintaining a </w:t>
            </w:r>
            <w:proofErr w:type="spellStart"/>
            <w:r w:rsidR="00C608B8" w:rsidRPr="00436732">
              <w:rPr>
                <w:rFonts w:ascii="Arial" w:hAnsi="Arial" w:cs="Arial"/>
                <w:lang w:val="en"/>
              </w:rPr>
              <w:t>behaviour</w:t>
            </w:r>
            <w:proofErr w:type="spellEnd"/>
            <w:r w:rsidR="00C608B8" w:rsidRPr="00436732">
              <w:rPr>
                <w:rFonts w:ascii="Arial" w:hAnsi="Arial" w:cs="Arial"/>
                <w:lang w:val="en"/>
              </w:rPr>
              <w:t xml:space="preserve"> policy which contains measures for promoting self-discipline and proper regard for authority among pupils; encouraging good </w:t>
            </w:r>
            <w:proofErr w:type="spellStart"/>
            <w:r w:rsidR="00C608B8" w:rsidRPr="00436732">
              <w:rPr>
                <w:rFonts w:ascii="Arial" w:hAnsi="Arial" w:cs="Arial"/>
                <w:lang w:val="en"/>
              </w:rPr>
              <w:t>behaviour</w:t>
            </w:r>
            <w:proofErr w:type="spellEnd"/>
            <w:r w:rsidR="00C608B8" w:rsidRPr="00436732">
              <w:rPr>
                <w:rFonts w:ascii="Arial" w:hAnsi="Arial" w:cs="Arial"/>
                <w:lang w:val="en"/>
              </w:rPr>
              <w:t xml:space="preserve"> and respect for others; preventing bullying; securing that pupils complete tasks reasonably assigned to them; and otherwise regulating the conduct of pupils. </w:t>
            </w:r>
          </w:p>
          <w:p w:rsidR="00C608B8" w:rsidRPr="00436732" w:rsidRDefault="00C608B8" w:rsidP="00036B19">
            <w:pPr>
              <w:rPr>
                <w:rFonts w:ascii="Arial" w:hAnsi="Arial" w:cs="Arial"/>
              </w:rPr>
            </w:pPr>
          </w:p>
        </w:tc>
        <w:tc>
          <w:tcPr>
            <w:tcW w:w="4959" w:type="dxa"/>
          </w:tcPr>
          <w:p w:rsidR="00C608B8" w:rsidRPr="00422BFB" w:rsidRDefault="00C608B8">
            <w:pPr>
              <w:rPr>
                <w:rFonts w:ascii="Arial" w:hAnsi="Arial" w:cs="Arial"/>
              </w:rPr>
            </w:pPr>
          </w:p>
        </w:tc>
      </w:tr>
      <w:tr w:rsidR="00C608B8" w:rsidRPr="00422BFB" w:rsidTr="00036B19">
        <w:tc>
          <w:tcPr>
            <w:tcW w:w="4959" w:type="dxa"/>
          </w:tcPr>
          <w:p w:rsidR="00C608B8" w:rsidRPr="00436732" w:rsidRDefault="00C608B8" w:rsidP="00036B19">
            <w:pPr>
              <w:rPr>
                <w:rFonts w:ascii="Arial" w:hAnsi="Arial" w:cs="Arial"/>
                <w:lang w:val="en"/>
              </w:rPr>
            </w:pPr>
            <w:r w:rsidRPr="00A76074">
              <w:rPr>
                <w:rFonts w:ascii="Arial" w:hAnsi="Arial" w:cs="Arial"/>
                <w:b/>
                <w:bCs/>
                <w:lang w:val="en"/>
              </w:rPr>
              <w:t>9</w:t>
            </w:r>
            <w:r w:rsidRPr="00436732">
              <w:rPr>
                <w:rFonts w:ascii="Arial" w:hAnsi="Arial" w:cs="Arial"/>
                <w:bCs/>
                <w:lang w:val="en"/>
              </w:rPr>
              <w:t>.</w:t>
            </w:r>
            <w:r w:rsidRPr="00436732">
              <w:rPr>
                <w:rFonts w:ascii="Arial" w:hAnsi="Arial" w:cs="Arial"/>
                <w:lang w:val="en"/>
              </w:rPr>
              <w:t>  The amount of the school’s allocation from the Pupil Premium grant</w:t>
            </w:r>
            <w:r w:rsidR="00D46490">
              <w:rPr>
                <w:rFonts w:ascii="Arial" w:hAnsi="Arial" w:cs="Arial"/>
                <w:lang w:val="en"/>
              </w:rPr>
              <w:t xml:space="preserve"> </w:t>
            </w:r>
            <w:r w:rsidRPr="00436732">
              <w:rPr>
                <w:rFonts w:ascii="Arial" w:hAnsi="Arial" w:cs="Arial"/>
                <w:lang w:val="en"/>
              </w:rPr>
              <w:t>(</w:t>
            </w:r>
            <w:hyperlink r:id="rId7" w:anchor="f00005" w:tooltip="Go to footnote 5" w:history="1">
              <w:r w:rsidRPr="005F5D5F">
                <w:rPr>
                  <w:rStyle w:val="Hyperlink"/>
                  <w:rFonts w:ascii="Arial" w:hAnsi="Arial" w:cs="Arial"/>
                  <w:color w:val="002060"/>
                  <w:lang w:val="en"/>
                </w:rPr>
                <w:t>5</w:t>
              </w:r>
            </w:hyperlink>
            <w:r w:rsidRPr="00436732">
              <w:rPr>
                <w:rFonts w:ascii="Arial" w:hAnsi="Arial" w:cs="Arial"/>
                <w:lang w:val="en"/>
              </w:rPr>
              <w:t xml:space="preserve">) in respect of the current academic year; details of how it is intended that the allocation will be spent; details of how the previous academic year’s allocation was spent, and the effect of this expenditure on </w:t>
            </w:r>
            <w:r w:rsidR="00D46490">
              <w:rPr>
                <w:rFonts w:ascii="Arial" w:hAnsi="Arial" w:cs="Arial"/>
                <w:lang w:val="en"/>
              </w:rPr>
              <w:t xml:space="preserve">narrowing gaps and on </w:t>
            </w:r>
            <w:r w:rsidRPr="00436732">
              <w:rPr>
                <w:rFonts w:ascii="Arial" w:hAnsi="Arial" w:cs="Arial"/>
                <w:lang w:val="en"/>
              </w:rPr>
              <w:t xml:space="preserve">the educational attainment of those pupils at the school in respect of whom grant funding was allocated. </w:t>
            </w:r>
          </w:p>
          <w:p w:rsidR="00EB4549" w:rsidRPr="00436732" w:rsidRDefault="00EB4549" w:rsidP="00036B19">
            <w:pPr>
              <w:rPr>
                <w:rFonts w:ascii="Arial" w:hAnsi="Arial" w:cs="Arial"/>
                <w:lang w:val="en"/>
              </w:rPr>
            </w:pPr>
            <w:r w:rsidRPr="00436732">
              <w:rPr>
                <w:rFonts w:ascii="Arial" w:hAnsi="Arial" w:cs="Arial"/>
                <w:lang w:val="en"/>
              </w:rPr>
              <w:t>(</w:t>
            </w:r>
            <w:r w:rsidRPr="00436732">
              <w:rPr>
                <w:rFonts w:ascii="Arial" w:hAnsi="Arial" w:cs="Arial"/>
                <w:bCs/>
                <w:lang w:val="en"/>
              </w:rPr>
              <w:t>5</w:t>
            </w:r>
            <w:r w:rsidRPr="00436732">
              <w:rPr>
                <w:rFonts w:ascii="Arial" w:hAnsi="Arial" w:cs="Arial"/>
                <w:lang w:val="en"/>
              </w:rPr>
              <w:t>)</w:t>
            </w:r>
          </w:p>
          <w:p w:rsidR="00EB4549" w:rsidRPr="00436732" w:rsidRDefault="00EB4549" w:rsidP="00036B19">
            <w:pPr>
              <w:rPr>
                <w:rFonts w:ascii="Arial" w:hAnsi="Arial" w:cs="Arial"/>
                <w:lang w:val="en"/>
              </w:rPr>
            </w:pPr>
            <w:r w:rsidRPr="00436732">
              <w:rPr>
                <w:rFonts w:ascii="Arial" w:hAnsi="Arial" w:cs="Arial"/>
                <w:lang w:val="en"/>
              </w:rPr>
              <w:t xml:space="preserve">The Pupil Premium Grant is the sum of money paid under that name annually to a local authority under section 14 of the Education Act 2002 on condition that it be allocated to schools. </w:t>
            </w:r>
          </w:p>
          <w:p w:rsidR="00C608B8" w:rsidRPr="00436732" w:rsidRDefault="00C608B8" w:rsidP="00036B19">
            <w:pPr>
              <w:rPr>
                <w:rFonts w:ascii="Arial" w:hAnsi="Arial" w:cs="Arial"/>
              </w:rPr>
            </w:pPr>
          </w:p>
        </w:tc>
        <w:tc>
          <w:tcPr>
            <w:tcW w:w="4959" w:type="dxa"/>
          </w:tcPr>
          <w:p w:rsidR="00C608B8" w:rsidRPr="00422BFB" w:rsidRDefault="00C608B8">
            <w:pPr>
              <w:rPr>
                <w:rFonts w:ascii="Arial" w:hAnsi="Arial" w:cs="Arial"/>
              </w:rPr>
            </w:pPr>
          </w:p>
        </w:tc>
      </w:tr>
      <w:tr w:rsidR="00C608B8" w:rsidRPr="00422BFB" w:rsidTr="00036B19">
        <w:tc>
          <w:tcPr>
            <w:tcW w:w="4959" w:type="dxa"/>
          </w:tcPr>
          <w:p w:rsidR="00EB4549" w:rsidRPr="00436732" w:rsidRDefault="00EB4549" w:rsidP="00036B19">
            <w:pPr>
              <w:rPr>
                <w:rFonts w:ascii="Arial" w:hAnsi="Arial" w:cs="Arial"/>
                <w:lang w:val="en"/>
              </w:rPr>
            </w:pPr>
            <w:r w:rsidRPr="00A76074">
              <w:rPr>
                <w:rFonts w:ascii="Arial" w:hAnsi="Arial" w:cs="Arial"/>
                <w:b/>
                <w:bCs/>
                <w:lang w:val="en"/>
              </w:rPr>
              <w:t>10</w:t>
            </w:r>
            <w:r w:rsidRPr="00436732">
              <w:rPr>
                <w:rFonts w:ascii="Arial" w:hAnsi="Arial" w:cs="Arial"/>
                <w:bCs/>
                <w:lang w:val="en"/>
              </w:rPr>
              <w:t>.</w:t>
            </w:r>
            <w:r w:rsidRPr="00436732">
              <w:rPr>
                <w:rFonts w:ascii="Arial" w:hAnsi="Arial" w:cs="Arial"/>
                <w:lang w:val="en"/>
              </w:rPr>
              <w:t>  The report prepared by the school under section 317(5)(a) of EA 1996 (duties of governing bodies in relation to special educational needs(</w:t>
            </w:r>
            <w:hyperlink r:id="rId8" w:anchor="f00006" w:tooltip="Go to footnote 6" w:history="1">
              <w:r w:rsidRPr="005F5D5F">
                <w:rPr>
                  <w:rStyle w:val="Hyperlink"/>
                  <w:rFonts w:ascii="Arial" w:hAnsi="Arial" w:cs="Arial"/>
                  <w:color w:val="002060"/>
                  <w:lang w:val="en"/>
                </w:rPr>
                <w:t>6</w:t>
              </w:r>
            </w:hyperlink>
            <w:r w:rsidRPr="00436732">
              <w:rPr>
                <w:rFonts w:ascii="Arial" w:hAnsi="Arial" w:cs="Arial"/>
                <w:lang w:val="en"/>
              </w:rPr>
              <w:t xml:space="preserve">)). </w:t>
            </w:r>
          </w:p>
          <w:p w:rsidR="00EB4549" w:rsidRPr="00436732" w:rsidRDefault="00EB4549" w:rsidP="00036B19">
            <w:pPr>
              <w:rPr>
                <w:rFonts w:ascii="Arial" w:hAnsi="Arial" w:cs="Arial"/>
                <w:lang w:val="en"/>
              </w:rPr>
            </w:pPr>
            <w:r w:rsidRPr="00436732">
              <w:rPr>
                <w:rFonts w:ascii="Arial" w:hAnsi="Arial" w:cs="Arial"/>
                <w:lang w:val="en"/>
              </w:rPr>
              <w:t>(</w:t>
            </w:r>
            <w:r w:rsidRPr="00436732">
              <w:rPr>
                <w:rFonts w:ascii="Arial" w:hAnsi="Arial" w:cs="Arial"/>
                <w:bCs/>
                <w:lang w:val="en"/>
              </w:rPr>
              <w:t>6</w:t>
            </w:r>
            <w:r w:rsidRPr="00436732">
              <w:rPr>
                <w:rFonts w:ascii="Arial" w:hAnsi="Arial" w:cs="Arial"/>
                <w:lang w:val="en"/>
              </w:rPr>
              <w:t>)</w:t>
            </w:r>
          </w:p>
          <w:p w:rsidR="00EB4549" w:rsidRPr="00436732" w:rsidRDefault="00EB4549" w:rsidP="00036B19">
            <w:pPr>
              <w:rPr>
                <w:rFonts w:ascii="Arial" w:hAnsi="Arial" w:cs="Arial"/>
                <w:lang w:val="en"/>
              </w:rPr>
            </w:pPr>
            <w:r w:rsidRPr="00436732">
              <w:rPr>
                <w:rFonts w:ascii="Arial" w:hAnsi="Arial" w:cs="Arial"/>
                <w:lang w:val="en"/>
              </w:rPr>
              <w:t xml:space="preserve">Section 317(5) is amended by paragraph 2 of Schedule 18 to the Education </w:t>
            </w:r>
            <w:r w:rsidRPr="005F5D5F">
              <w:rPr>
                <w:rFonts w:ascii="Arial" w:hAnsi="Arial" w:cs="Arial"/>
                <w:color w:val="002060"/>
                <w:lang w:val="en"/>
              </w:rPr>
              <w:t xml:space="preserve">Act </w:t>
            </w:r>
            <w:hyperlink r:id="rId9" w:tooltip="Go to item of legislation" w:history="1">
              <w:r w:rsidRPr="005F5D5F">
                <w:rPr>
                  <w:rStyle w:val="Hyperlink"/>
                  <w:rFonts w:ascii="Arial" w:hAnsi="Arial" w:cs="Arial"/>
                  <w:color w:val="002060"/>
                  <w:lang w:val="en"/>
                </w:rPr>
                <w:t>2005 (c.18)</w:t>
              </w:r>
            </w:hyperlink>
            <w:r w:rsidRPr="00436732">
              <w:rPr>
                <w:rFonts w:ascii="Arial" w:hAnsi="Arial" w:cs="Arial"/>
                <w:lang w:val="en"/>
              </w:rPr>
              <w:t xml:space="preserve">. Section 317(5) requires the governing body of a community, foundation or voluntary school, a maintained nursery school, or a community or </w:t>
            </w:r>
            <w:r w:rsidRPr="00436732">
              <w:rPr>
                <w:rFonts w:ascii="Arial" w:hAnsi="Arial" w:cs="Arial"/>
                <w:lang w:val="en"/>
              </w:rPr>
              <w:lastRenderedPageBreak/>
              <w:t xml:space="preserve">foundation special school to prepare a report about the implementation of the governing body’s policy </w:t>
            </w:r>
            <w:r w:rsidR="00D46490">
              <w:rPr>
                <w:rFonts w:ascii="Arial" w:hAnsi="Arial" w:cs="Arial"/>
                <w:lang w:val="en"/>
              </w:rPr>
              <w:t xml:space="preserve">and provision </w:t>
            </w:r>
            <w:r w:rsidRPr="00436732">
              <w:rPr>
                <w:rFonts w:ascii="Arial" w:hAnsi="Arial" w:cs="Arial"/>
                <w:lang w:val="en"/>
              </w:rPr>
              <w:t>for pupils with special educational needs. The report must contain the information prescribed in the Education (Special Educational Needs) (Information) Regulations 1999 (</w:t>
            </w:r>
            <w:hyperlink r:id="rId10" w:tooltip="Go to item of legislation" w:history="1">
              <w:r w:rsidRPr="005F5D5F">
                <w:rPr>
                  <w:rStyle w:val="Hyperlink"/>
                  <w:rFonts w:ascii="Arial" w:hAnsi="Arial" w:cs="Arial"/>
                  <w:color w:val="002060"/>
                  <w:lang w:val="en"/>
                </w:rPr>
                <w:t>S.I. 1999/2506</w:t>
              </w:r>
            </w:hyperlink>
            <w:r w:rsidRPr="00436732">
              <w:rPr>
                <w:rFonts w:ascii="Arial" w:hAnsi="Arial" w:cs="Arial"/>
                <w:lang w:val="en"/>
              </w:rPr>
              <w:t xml:space="preserve">), and information about arrangements for admission of disabled pupils; steps taken to prevent them from being treated less </w:t>
            </w:r>
            <w:proofErr w:type="spellStart"/>
            <w:r w:rsidRPr="00436732">
              <w:rPr>
                <w:rFonts w:ascii="Arial" w:hAnsi="Arial" w:cs="Arial"/>
                <w:lang w:val="en"/>
              </w:rPr>
              <w:t>favourably</w:t>
            </w:r>
            <w:proofErr w:type="spellEnd"/>
            <w:r w:rsidRPr="00436732">
              <w:rPr>
                <w:rFonts w:ascii="Arial" w:hAnsi="Arial" w:cs="Arial"/>
                <w:lang w:val="en"/>
              </w:rPr>
              <w:t xml:space="preserve"> than other pupils; access facilities; and the plan prepared by the governing body under paragraph 3 of Schedule 10 to the Equality Act </w:t>
            </w:r>
            <w:hyperlink r:id="rId11" w:tooltip="Go to item of legislation" w:history="1">
              <w:r w:rsidRPr="005F5D5F">
                <w:rPr>
                  <w:rStyle w:val="Hyperlink"/>
                  <w:rFonts w:ascii="Arial" w:hAnsi="Arial" w:cs="Arial"/>
                  <w:color w:val="002060"/>
                  <w:lang w:val="en"/>
                </w:rPr>
                <w:t>2010 (c 15</w:t>
              </w:r>
              <w:r w:rsidRPr="00436732">
                <w:rPr>
                  <w:rStyle w:val="Hyperlink"/>
                  <w:rFonts w:ascii="Arial" w:hAnsi="Arial" w:cs="Arial"/>
                  <w:color w:val="auto"/>
                  <w:lang w:val="en"/>
                </w:rPr>
                <w:t>)</w:t>
              </w:r>
            </w:hyperlink>
            <w:r w:rsidRPr="00436732">
              <w:rPr>
                <w:rFonts w:ascii="Arial" w:hAnsi="Arial" w:cs="Arial"/>
                <w:lang w:val="en"/>
              </w:rPr>
              <w:t xml:space="preserve">. </w:t>
            </w:r>
          </w:p>
          <w:p w:rsidR="00C608B8" w:rsidRPr="00436732" w:rsidRDefault="00C608B8" w:rsidP="00036B19">
            <w:pPr>
              <w:rPr>
                <w:rFonts w:ascii="Arial" w:hAnsi="Arial" w:cs="Arial"/>
              </w:rPr>
            </w:pPr>
          </w:p>
        </w:tc>
        <w:tc>
          <w:tcPr>
            <w:tcW w:w="4959" w:type="dxa"/>
          </w:tcPr>
          <w:p w:rsidR="00C608B8" w:rsidRPr="00422BFB" w:rsidRDefault="00C608B8">
            <w:pPr>
              <w:rPr>
                <w:rFonts w:ascii="Arial" w:hAnsi="Arial" w:cs="Arial"/>
              </w:rPr>
            </w:pPr>
          </w:p>
        </w:tc>
      </w:tr>
      <w:tr w:rsidR="00C608B8" w:rsidRPr="00422BFB" w:rsidTr="00036B19">
        <w:tc>
          <w:tcPr>
            <w:tcW w:w="4959" w:type="dxa"/>
          </w:tcPr>
          <w:p w:rsidR="00EB4549" w:rsidRPr="00436732" w:rsidRDefault="00EB4549" w:rsidP="00036B19">
            <w:pPr>
              <w:rPr>
                <w:rFonts w:ascii="Arial" w:hAnsi="Arial" w:cs="Arial"/>
                <w:lang w:val="en"/>
              </w:rPr>
            </w:pPr>
            <w:r w:rsidRPr="00A76074">
              <w:rPr>
                <w:rFonts w:ascii="Arial" w:hAnsi="Arial" w:cs="Arial"/>
                <w:b/>
                <w:bCs/>
                <w:lang w:val="en"/>
              </w:rPr>
              <w:lastRenderedPageBreak/>
              <w:t>11</w:t>
            </w:r>
            <w:r w:rsidRPr="00436732">
              <w:rPr>
                <w:rFonts w:ascii="Arial" w:hAnsi="Arial" w:cs="Arial"/>
                <w:bCs/>
                <w:lang w:val="en"/>
              </w:rPr>
              <w:t>.</w:t>
            </w:r>
            <w:r w:rsidRPr="00436732">
              <w:rPr>
                <w:rFonts w:ascii="Arial" w:hAnsi="Arial" w:cs="Arial"/>
                <w:lang w:val="en"/>
              </w:rPr>
              <w:t>  The school’s charging and remissions policy determined by them under section 457 of EA 1996(</w:t>
            </w:r>
            <w:hyperlink r:id="rId12" w:anchor="f00007" w:tooltip="Go to footnote 7" w:history="1">
              <w:r w:rsidRPr="005F5D5F">
                <w:rPr>
                  <w:rStyle w:val="Hyperlink"/>
                  <w:rFonts w:ascii="Arial" w:hAnsi="Arial" w:cs="Arial"/>
                  <w:color w:val="002060"/>
                  <w:lang w:val="en"/>
                </w:rPr>
                <w:t>7</w:t>
              </w:r>
            </w:hyperlink>
            <w:r w:rsidRPr="00436732">
              <w:rPr>
                <w:rFonts w:ascii="Arial" w:hAnsi="Arial" w:cs="Arial"/>
                <w:lang w:val="en"/>
              </w:rPr>
              <w:t xml:space="preserve">). </w:t>
            </w:r>
          </w:p>
          <w:p w:rsidR="00EB4549" w:rsidRPr="00436732" w:rsidRDefault="00EB4549" w:rsidP="00036B19">
            <w:pPr>
              <w:rPr>
                <w:rFonts w:ascii="Arial" w:hAnsi="Arial" w:cs="Arial"/>
                <w:lang w:val="en"/>
              </w:rPr>
            </w:pPr>
            <w:r w:rsidRPr="00436732">
              <w:rPr>
                <w:rFonts w:ascii="Arial" w:hAnsi="Arial" w:cs="Arial"/>
                <w:lang w:val="en"/>
              </w:rPr>
              <w:t>(</w:t>
            </w:r>
            <w:r w:rsidRPr="00436732">
              <w:rPr>
                <w:rFonts w:ascii="Arial" w:hAnsi="Arial" w:cs="Arial"/>
                <w:bCs/>
                <w:lang w:val="en"/>
              </w:rPr>
              <w:t>7</w:t>
            </w:r>
            <w:r w:rsidRPr="00436732">
              <w:rPr>
                <w:rFonts w:ascii="Arial" w:hAnsi="Arial" w:cs="Arial"/>
                <w:lang w:val="en"/>
              </w:rPr>
              <w:t>)</w:t>
            </w:r>
          </w:p>
          <w:p w:rsidR="00EB4549" w:rsidRPr="00436732" w:rsidRDefault="00EB4549" w:rsidP="00036B19">
            <w:pPr>
              <w:rPr>
                <w:rFonts w:ascii="Arial" w:hAnsi="Arial" w:cs="Arial"/>
                <w:lang w:val="en"/>
              </w:rPr>
            </w:pPr>
            <w:r w:rsidRPr="00436732">
              <w:rPr>
                <w:rFonts w:ascii="Arial" w:hAnsi="Arial" w:cs="Arial"/>
                <w:lang w:val="en"/>
              </w:rPr>
              <w:t xml:space="preserve">Relevant amendments to section 457 have been made by section 140 of, and paragraph 122(a) of Schedule 31 to, the SSFA 1998. Section 457 requires governing bodies of maintained schools to determine a policy with respect to the classes or descriptions of case in which they propose to make charges for (“charging policy”), and a policy (“remissions policy”) setting out any circumstances in which they propose to remit any charge which would otherwise be payable to them under their charging policy. Governing bodies may not make charges unless they have a charging and remissions policy. </w:t>
            </w:r>
          </w:p>
          <w:p w:rsidR="00C608B8" w:rsidRPr="00436732" w:rsidRDefault="00C608B8" w:rsidP="00036B19">
            <w:pPr>
              <w:rPr>
                <w:rFonts w:ascii="Arial" w:hAnsi="Arial" w:cs="Arial"/>
              </w:rPr>
            </w:pPr>
          </w:p>
        </w:tc>
        <w:tc>
          <w:tcPr>
            <w:tcW w:w="4959" w:type="dxa"/>
          </w:tcPr>
          <w:p w:rsidR="00C608B8" w:rsidRPr="00422BFB" w:rsidRDefault="00C608B8">
            <w:pPr>
              <w:rPr>
                <w:rFonts w:ascii="Arial" w:hAnsi="Arial" w:cs="Arial"/>
              </w:rPr>
            </w:pPr>
          </w:p>
        </w:tc>
      </w:tr>
      <w:tr w:rsidR="00C608B8" w:rsidRPr="00422BFB" w:rsidTr="00036B19">
        <w:tc>
          <w:tcPr>
            <w:tcW w:w="4959" w:type="dxa"/>
          </w:tcPr>
          <w:p w:rsidR="00EB4549" w:rsidRPr="00436732" w:rsidRDefault="00EB4549" w:rsidP="00036B19">
            <w:pPr>
              <w:rPr>
                <w:rFonts w:ascii="Arial" w:hAnsi="Arial" w:cs="Arial"/>
                <w:lang w:val="en"/>
              </w:rPr>
            </w:pPr>
            <w:r w:rsidRPr="00A76074">
              <w:rPr>
                <w:rFonts w:ascii="Arial" w:hAnsi="Arial" w:cs="Arial"/>
                <w:b/>
                <w:bCs/>
                <w:lang w:val="en"/>
              </w:rPr>
              <w:t>12</w:t>
            </w:r>
            <w:r w:rsidRPr="00436732">
              <w:rPr>
                <w:rFonts w:ascii="Arial" w:hAnsi="Arial" w:cs="Arial"/>
                <w:bCs/>
                <w:lang w:val="en"/>
              </w:rPr>
              <w:t>.</w:t>
            </w:r>
            <w:r w:rsidRPr="00436732">
              <w:rPr>
                <w:rFonts w:ascii="Arial" w:hAnsi="Arial" w:cs="Arial"/>
                <w:lang w:val="en"/>
              </w:rPr>
              <w:t xml:space="preserve">  A statement of the school’s ethos and values.” </w:t>
            </w:r>
          </w:p>
          <w:p w:rsidR="00C608B8" w:rsidRPr="00436732" w:rsidRDefault="00C608B8" w:rsidP="00036B19">
            <w:pPr>
              <w:rPr>
                <w:rFonts w:ascii="Arial" w:hAnsi="Arial" w:cs="Arial"/>
              </w:rPr>
            </w:pPr>
          </w:p>
        </w:tc>
        <w:tc>
          <w:tcPr>
            <w:tcW w:w="4959" w:type="dxa"/>
          </w:tcPr>
          <w:p w:rsidR="00C608B8" w:rsidRPr="00422BFB" w:rsidRDefault="00C608B8">
            <w:pPr>
              <w:rPr>
                <w:rFonts w:ascii="Arial" w:hAnsi="Arial" w:cs="Arial"/>
              </w:rPr>
            </w:pPr>
          </w:p>
        </w:tc>
      </w:tr>
      <w:tr w:rsidR="00422BFB" w:rsidRPr="00422BFB" w:rsidTr="00036B19">
        <w:tc>
          <w:tcPr>
            <w:tcW w:w="4959" w:type="dxa"/>
          </w:tcPr>
          <w:p w:rsidR="00422BFB" w:rsidRPr="00436732" w:rsidRDefault="00422BFB" w:rsidP="00036B19">
            <w:pPr>
              <w:rPr>
                <w:rFonts w:ascii="Arial" w:hAnsi="Arial" w:cs="Arial"/>
                <w:b/>
                <w:bCs/>
                <w:lang w:val="en"/>
              </w:rPr>
            </w:pPr>
            <w:r w:rsidRPr="00436732">
              <w:rPr>
                <w:rFonts w:ascii="Arial" w:hAnsi="Arial" w:cs="Arial"/>
                <w:b/>
                <w:bCs/>
                <w:lang w:val="en"/>
              </w:rPr>
              <w:t>SI 2013 758 Y7 Catch-up</w:t>
            </w:r>
          </w:p>
        </w:tc>
        <w:tc>
          <w:tcPr>
            <w:tcW w:w="4959" w:type="dxa"/>
          </w:tcPr>
          <w:p w:rsidR="00422BFB" w:rsidRPr="00422BFB" w:rsidRDefault="00422BFB">
            <w:pPr>
              <w:rPr>
                <w:rFonts w:ascii="Arial" w:hAnsi="Arial" w:cs="Arial"/>
              </w:rPr>
            </w:pPr>
          </w:p>
        </w:tc>
      </w:tr>
      <w:tr w:rsidR="00422BFB" w:rsidRPr="00422BFB" w:rsidTr="00036B19">
        <w:tc>
          <w:tcPr>
            <w:tcW w:w="4959" w:type="dxa"/>
          </w:tcPr>
          <w:p w:rsidR="00422BFB" w:rsidRPr="00436732" w:rsidRDefault="00422BFB" w:rsidP="00036B19">
            <w:pPr>
              <w:autoSpaceDE w:val="0"/>
              <w:autoSpaceDN w:val="0"/>
              <w:adjustRightInd w:val="0"/>
              <w:rPr>
                <w:rFonts w:ascii="Arial" w:hAnsi="Arial" w:cs="Arial"/>
                <w:sz w:val="21"/>
                <w:szCs w:val="21"/>
              </w:rPr>
            </w:pPr>
            <w:r w:rsidRPr="00436732">
              <w:rPr>
                <w:rFonts w:ascii="Arial" w:hAnsi="Arial" w:cs="Arial"/>
                <w:sz w:val="21"/>
                <w:szCs w:val="21"/>
              </w:rPr>
              <w:t>(2) In Schedule 4 (specified information to be published on the school’s website), after</w:t>
            </w:r>
          </w:p>
          <w:p w:rsidR="00422BFB" w:rsidRPr="00436732" w:rsidRDefault="00422BFB" w:rsidP="00036B19">
            <w:pPr>
              <w:autoSpaceDE w:val="0"/>
              <w:autoSpaceDN w:val="0"/>
              <w:adjustRightInd w:val="0"/>
              <w:rPr>
                <w:rFonts w:ascii="Arial" w:hAnsi="Arial" w:cs="Arial"/>
                <w:sz w:val="21"/>
                <w:szCs w:val="21"/>
              </w:rPr>
            </w:pPr>
            <w:r w:rsidRPr="00436732">
              <w:rPr>
                <w:rFonts w:ascii="Arial" w:hAnsi="Arial" w:cs="Arial"/>
                <w:sz w:val="21"/>
                <w:szCs w:val="21"/>
              </w:rPr>
              <w:t>paragraph 12 insert—</w:t>
            </w:r>
          </w:p>
          <w:p w:rsidR="00422BFB" w:rsidRPr="00436732" w:rsidRDefault="00422BFB" w:rsidP="00036B19">
            <w:pPr>
              <w:autoSpaceDE w:val="0"/>
              <w:autoSpaceDN w:val="0"/>
              <w:adjustRightInd w:val="0"/>
              <w:rPr>
                <w:rFonts w:ascii="Arial" w:hAnsi="Arial" w:cs="Arial"/>
                <w:sz w:val="21"/>
                <w:szCs w:val="21"/>
              </w:rPr>
            </w:pPr>
            <w:r w:rsidRPr="00436732">
              <w:rPr>
                <w:rFonts w:ascii="Arial" w:hAnsi="Arial" w:cs="Arial"/>
                <w:sz w:val="21"/>
                <w:szCs w:val="21"/>
              </w:rPr>
              <w:t>“</w:t>
            </w:r>
            <w:r w:rsidRPr="00436732">
              <w:rPr>
                <w:rFonts w:ascii="Arial" w:hAnsi="Arial" w:cs="Arial"/>
                <w:b/>
                <w:bCs/>
                <w:sz w:val="21"/>
                <w:szCs w:val="21"/>
              </w:rPr>
              <w:t xml:space="preserve">13. </w:t>
            </w:r>
            <w:r w:rsidRPr="00436732">
              <w:rPr>
                <w:rFonts w:ascii="Arial" w:hAnsi="Arial" w:cs="Arial"/>
                <w:sz w:val="21"/>
                <w:szCs w:val="21"/>
              </w:rPr>
              <w:t>In respect of a school in receipt of an allocation from the Year 7 literacy and</w:t>
            </w:r>
          </w:p>
          <w:p w:rsidR="00422BFB" w:rsidRPr="00436732" w:rsidRDefault="00422BFB" w:rsidP="00036B19">
            <w:pPr>
              <w:autoSpaceDE w:val="0"/>
              <w:autoSpaceDN w:val="0"/>
              <w:adjustRightInd w:val="0"/>
              <w:rPr>
                <w:rFonts w:ascii="Arial" w:hAnsi="Arial" w:cs="Arial"/>
                <w:sz w:val="21"/>
                <w:szCs w:val="21"/>
              </w:rPr>
            </w:pPr>
            <w:r w:rsidRPr="00436732">
              <w:rPr>
                <w:rFonts w:ascii="Arial" w:hAnsi="Arial" w:cs="Arial"/>
                <w:sz w:val="21"/>
                <w:szCs w:val="21"/>
              </w:rPr>
              <w:t>numeracy catch-up premium grant(</w:t>
            </w:r>
            <w:r w:rsidRPr="00436732">
              <w:rPr>
                <w:rFonts w:ascii="Arial" w:hAnsi="Arial" w:cs="Arial"/>
                <w:b/>
                <w:bCs/>
                <w:sz w:val="21"/>
                <w:szCs w:val="21"/>
              </w:rPr>
              <w:t>c</w:t>
            </w:r>
            <w:r w:rsidRPr="00436732">
              <w:rPr>
                <w:rFonts w:ascii="Arial" w:hAnsi="Arial" w:cs="Arial"/>
                <w:sz w:val="21"/>
                <w:szCs w:val="21"/>
              </w:rPr>
              <w:t>), details of:</w:t>
            </w:r>
          </w:p>
          <w:p w:rsidR="00422BFB" w:rsidRPr="00436732" w:rsidRDefault="00422BFB" w:rsidP="00036B19">
            <w:pPr>
              <w:autoSpaceDE w:val="0"/>
              <w:autoSpaceDN w:val="0"/>
              <w:adjustRightInd w:val="0"/>
              <w:rPr>
                <w:rFonts w:ascii="Arial" w:hAnsi="Arial" w:cs="Arial"/>
                <w:sz w:val="21"/>
                <w:szCs w:val="21"/>
              </w:rPr>
            </w:pPr>
            <w:r w:rsidRPr="00436732">
              <w:rPr>
                <w:rFonts w:ascii="Arial" w:hAnsi="Arial" w:cs="Arial"/>
                <w:sz w:val="21"/>
                <w:szCs w:val="21"/>
              </w:rPr>
              <w:t>(a) how it is intended that the current academic year’s allocation will be spent; and</w:t>
            </w:r>
          </w:p>
          <w:p w:rsidR="00422BFB" w:rsidRDefault="00422BFB" w:rsidP="00036B19">
            <w:pPr>
              <w:autoSpaceDE w:val="0"/>
              <w:autoSpaceDN w:val="0"/>
              <w:adjustRightInd w:val="0"/>
              <w:rPr>
                <w:rFonts w:ascii="Arial" w:hAnsi="Arial" w:cs="Arial"/>
                <w:sz w:val="21"/>
                <w:szCs w:val="21"/>
              </w:rPr>
            </w:pPr>
            <w:r w:rsidRPr="00436732">
              <w:rPr>
                <w:rFonts w:ascii="Arial" w:hAnsi="Arial" w:cs="Arial"/>
                <w:sz w:val="21"/>
                <w:szCs w:val="21"/>
              </w:rPr>
              <w:t>(b) how the previous academic year’s allocation was spent; the effect of this expenditure on the educational attainment of those pupils at the school in respect of whom grant funding was allocated; and how that effect has been assessed.”</w:t>
            </w:r>
          </w:p>
          <w:p w:rsidR="00A76074" w:rsidRPr="00436732" w:rsidRDefault="00A76074" w:rsidP="00036B19">
            <w:pPr>
              <w:autoSpaceDE w:val="0"/>
              <w:autoSpaceDN w:val="0"/>
              <w:adjustRightInd w:val="0"/>
              <w:rPr>
                <w:rFonts w:ascii="Arial" w:hAnsi="Arial" w:cs="Arial"/>
                <w:sz w:val="21"/>
                <w:szCs w:val="21"/>
              </w:rPr>
            </w:pPr>
          </w:p>
        </w:tc>
        <w:tc>
          <w:tcPr>
            <w:tcW w:w="4959" w:type="dxa"/>
          </w:tcPr>
          <w:p w:rsidR="00422BFB" w:rsidRPr="00422BFB" w:rsidRDefault="00422BFB">
            <w:pPr>
              <w:rPr>
                <w:rFonts w:ascii="Arial" w:hAnsi="Arial" w:cs="Arial"/>
              </w:rPr>
            </w:pPr>
          </w:p>
        </w:tc>
      </w:tr>
    </w:tbl>
    <w:p w:rsidR="00C608B8" w:rsidRPr="00422BFB" w:rsidRDefault="00C608B8">
      <w:pPr>
        <w:rPr>
          <w:rFonts w:ascii="Arial" w:hAnsi="Arial" w:cs="Arial"/>
        </w:rPr>
      </w:pPr>
    </w:p>
    <w:sectPr w:rsidR="00C608B8" w:rsidRPr="00422BFB" w:rsidSect="00036B19">
      <w:pgSz w:w="11906" w:h="16838"/>
      <w:pgMar w:top="1080" w:right="1080" w:bottom="72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B8"/>
    <w:rsid w:val="00036B19"/>
    <w:rsid w:val="00103EE4"/>
    <w:rsid w:val="001B2FB3"/>
    <w:rsid w:val="00252D74"/>
    <w:rsid w:val="00330B1F"/>
    <w:rsid w:val="00422BFB"/>
    <w:rsid w:val="00436732"/>
    <w:rsid w:val="00437C09"/>
    <w:rsid w:val="005F5D5F"/>
    <w:rsid w:val="007C1B06"/>
    <w:rsid w:val="00A76074"/>
    <w:rsid w:val="00BC61D2"/>
    <w:rsid w:val="00C608B8"/>
    <w:rsid w:val="00D46490"/>
    <w:rsid w:val="00D87D6B"/>
    <w:rsid w:val="00EB4549"/>
    <w:rsid w:val="00FD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0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p1paratext1">
    <w:name w:val="legp1paratext1"/>
    <w:basedOn w:val="Normal"/>
    <w:rsid w:val="00C608B8"/>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character" w:customStyle="1" w:styleId="legamendingtext">
    <w:name w:val="legamendingtext"/>
    <w:basedOn w:val="DefaultParagraphFont"/>
    <w:rsid w:val="00C608B8"/>
  </w:style>
  <w:style w:type="paragraph" w:customStyle="1" w:styleId="legclearfix2">
    <w:name w:val="legclearfix2"/>
    <w:basedOn w:val="Normal"/>
    <w:rsid w:val="00C608B8"/>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styleId="Hyperlink">
    <w:name w:val="Hyperlink"/>
    <w:basedOn w:val="DefaultParagraphFont"/>
    <w:uiPriority w:val="99"/>
    <w:unhideWhenUsed/>
    <w:rsid w:val="00C608B8"/>
    <w:rPr>
      <w:color w:val="0000FF" w:themeColor="hyperlink"/>
      <w:u w:val="single"/>
    </w:rPr>
  </w:style>
  <w:style w:type="paragraph" w:styleId="BalloonText">
    <w:name w:val="Balloon Text"/>
    <w:basedOn w:val="Normal"/>
    <w:link w:val="BalloonTextChar"/>
    <w:uiPriority w:val="99"/>
    <w:semiHidden/>
    <w:unhideWhenUsed/>
    <w:rsid w:val="00103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E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0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p1paratext1">
    <w:name w:val="legp1paratext1"/>
    <w:basedOn w:val="Normal"/>
    <w:rsid w:val="00C608B8"/>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character" w:customStyle="1" w:styleId="legamendingtext">
    <w:name w:val="legamendingtext"/>
    <w:basedOn w:val="DefaultParagraphFont"/>
    <w:rsid w:val="00C608B8"/>
  </w:style>
  <w:style w:type="paragraph" w:customStyle="1" w:styleId="legclearfix2">
    <w:name w:val="legclearfix2"/>
    <w:basedOn w:val="Normal"/>
    <w:rsid w:val="00C608B8"/>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styleId="Hyperlink">
    <w:name w:val="Hyperlink"/>
    <w:basedOn w:val="DefaultParagraphFont"/>
    <w:uiPriority w:val="99"/>
    <w:unhideWhenUsed/>
    <w:rsid w:val="00C608B8"/>
    <w:rPr>
      <w:color w:val="0000FF" w:themeColor="hyperlink"/>
      <w:u w:val="single"/>
    </w:rPr>
  </w:style>
  <w:style w:type="paragraph" w:styleId="BalloonText">
    <w:name w:val="Balloon Text"/>
    <w:basedOn w:val="Normal"/>
    <w:link w:val="BalloonTextChar"/>
    <w:uiPriority w:val="99"/>
    <w:semiHidden/>
    <w:unhideWhenUsed/>
    <w:rsid w:val="00103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E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1656">
      <w:bodyDiv w:val="1"/>
      <w:marLeft w:val="0"/>
      <w:marRight w:val="0"/>
      <w:marTop w:val="0"/>
      <w:marBottom w:val="0"/>
      <w:divBdr>
        <w:top w:val="none" w:sz="0" w:space="0" w:color="auto"/>
        <w:left w:val="none" w:sz="0" w:space="0" w:color="auto"/>
        <w:bottom w:val="none" w:sz="0" w:space="0" w:color="auto"/>
        <w:right w:val="none" w:sz="0" w:space="0" w:color="auto"/>
      </w:divBdr>
      <w:divsChild>
        <w:div w:id="214392942">
          <w:marLeft w:val="0"/>
          <w:marRight w:val="0"/>
          <w:marTop w:val="0"/>
          <w:marBottom w:val="0"/>
          <w:divBdr>
            <w:top w:val="none" w:sz="0" w:space="0" w:color="auto"/>
            <w:left w:val="none" w:sz="0" w:space="0" w:color="auto"/>
            <w:bottom w:val="none" w:sz="0" w:space="0" w:color="auto"/>
            <w:right w:val="none" w:sz="0" w:space="0" w:color="auto"/>
          </w:divBdr>
          <w:divsChild>
            <w:div w:id="280769997">
              <w:marLeft w:val="0"/>
              <w:marRight w:val="0"/>
              <w:marTop w:val="0"/>
              <w:marBottom w:val="0"/>
              <w:divBdr>
                <w:top w:val="single" w:sz="2" w:space="0" w:color="FFFFFF"/>
                <w:left w:val="single" w:sz="6" w:space="0" w:color="FFFFFF"/>
                <w:bottom w:val="single" w:sz="6" w:space="0" w:color="FFFFFF"/>
                <w:right w:val="single" w:sz="6" w:space="0" w:color="FFFFFF"/>
              </w:divBdr>
              <w:divsChild>
                <w:div w:id="1424492558">
                  <w:marLeft w:val="0"/>
                  <w:marRight w:val="0"/>
                  <w:marTop w:val="0"/>
                  <w:marBottom w:val="0"/>
                  <w:divBdr>
                    <w:top w:val="single" w:sz="6" w:space="1" w:color="D3D3D3"/>
                    <w:left w:val="none" w:sz="0" w:space="0" w:color="auto"/>
                    <w:bottom w:val="none" w:sz="0" w:space="0" w:color="auto"/>
                    <w:right w:val="none" w:sz="0" w:space="0" w:color="auto"/>
                  </w:divBdr>
                  <w:divsChild>
                    <w:div w:id="529026669">
                      <w:marLeft w:val="0"/>
                      <w:marRight w:val="0"/>
                      <w:marTop w:val="0"/>
                      <w:marBottom w:val="0"/>
                      <w:divBdr>
                        <w:top w:val="none" w:sz="0" w:space="0" w:color="auto"/>
                        <w:left w:val="none" w:sz="0" w:space="0" w:color="auto"/>
                        <w:bottom w:val="none" w:sz="0" w:space="0" w:color="auto"/>
                        <w:right w:val="none" w:sz="0" w:space="0" w:color="auto"/>
                      </w:divBdr>
                      <w:divsChild>
                        <w:div w:id="15322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67055">
      <w:bodyDiv w:val="1"/>
      <w:marLeft w:val="0"/>
      <w:marRight w:val="0"/>
      <w:marTop w:val="0"/>
      <w:marBottom w:val="0"/>
      <w:divBdr>
        <w:top w:val="none" w:sz="0" w:space="0" w:color="auto"/>
        <w:left w:val="none" w:sz="0" w:space="0" w:color="auto"/>
        <w:bottom w:val="none" w:sz="0" w:space="0" w:color="auto"/>
        <w:right w:val="none" w:sz="0" w:space="0" w:color="auto"/>
      </w:divBdr>
      <w:divsChild>
        <w:div w:id="1083451999">
          <w:marLeft w:val="0"/>
          <w:marRight w:val="0"/>
          <w:marTop w:val="0"/>
          <w:marBottom w:val="0"/>
          <w:divBdr>
            <w:top w:val="none" w:sz="0" w:space="0" w:color="auto"/>
            <w:left w:val="none" w:sz="0" w:space="0" w:color="auto"/>
            <w:bottom w:val="none" w:sz="0" w:space="0" w:color="auto"/>
            <w:right w:val="none" w:sz="0" w:space="0" w:color="auto"/>
          </w:divBdr>
          <w:divsChild>
            <w:div w:id="1043559023">
              <w:marLeft w:val="0"/>
              <w:marRight w:val="0"/>
              <w:marTop w:val="0"/>
              <w:marBottom w:val="0"/>
              <w:divBdr>
                <w:top w:val="single" w:sz="2" w:space="0" w:color="FFFFFF"/>
                <w:left w:val="single" w:sz="6" w:space="0" w:color="FFFFFF"/>
                <w:bottom w:val="single" w:sz="6" w:space="0" w:color="FFFFFF"/>
                <w:right w:val="single" w:sz="6" w:space="0" w:color="FFFFFF"/>
              </w:divBdr>
              <w:divsChild>
                <w:div w:id="1554148074">
                  <w:marLeft w:val="0"/>
                  <w:marRight w:val="0"/>
                  <w:marTop w:val="0"/>
                  <w:marBottom w:val="0"/>
                  <w:divBdr>
                    <w:top w:val="single" w:sz="6" w:space="1" w:color="D3D3D3"/>
                    <w:left w:val="none" w:sz="0" w:space="0" w:color="auto"/>
                    <w:bottom w:val="none" w:sz="0" w:space="0" w:color="auto"/>
                    <w:right w:val="none" w:sz="0" w:space="0" w:color="auto"/>
                  </w:divBdr>
                  <w:divsChild>
                    <w:div w:id="1282494408">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6072">
      <w:bodyDiv w:val="1"/>
      <w:marLeft w:val="0"/>
      <w:marRight w:val="0"/>
      <w:marTop w:val="0"/>
      <w:marBottom w:val="0"/>
      <w:divBdr>
        <w:top w:val="none" w:sz="0" w:space="0" w:color="auto"/>
        <w:left w:val="none" w:sz="0" w:space="0" w:color="auto"/>
        <w:bottom w:val="none" w:sz="0" w:space="0" w:color="auto"/>
        <w:right w:val="none" w:sz="0" w:space="0" w:color="auto"/>
      </w:divBdr>
      <w:divsChild>
        <w:div w:id="1997302762">
          <w:marLeft w:val="0"/>
          <w:marRight w:val="0"/>
          <w:marTop w:val="0"/>
          <w:marBottom w:val="0"/>
          <w:divBdr>
            <w:top w:val="none" w:sz="0" w:space="0" w:color="auto"/>
            <w:left w:val="none" w:sz="0" w:space="0" w:color="auto"/>
            <w:bottom w:val="none" w:sz="0" w:space="0" w:color="auto"/>
            <w:right w:val="none" w:sz="0" w:space="0" w:color="auto"/>
          </w:divBdr>
          <w:divsChild>
            <w:div w:id="1081177099">
              <w:marLeft w:val="0"/>
              <w:marRight w:val="0"/>
              <w:marTop w:val="0"/>
              <w:marBottom w:val="0"/>
              <w:divBdr>
                <w:top w:val="single" w:sz="2" w:space="0" w:color="FFFFFF"/>
                <w:left w:val="single" w:sz="6" w:space="0" w:color="FFFFFF"/>
                <w:bottom w:val="single" w:sz="6" w:space="0" w:color="FFFFFF"/>
                <w:right w:val="single" w:sz="6" w:space="0" w:color="FFFFFF"/>
              </w:divBdr>
              <w:divsChild>
                <w:div w:id="1182159953">
                  <w:marLeft w:val="0"/>
                  <w:marRight w:val="0"/>
                  <w:marTop w:val="0"/>
                  <w:marBottom w:val="0"/>
                  <w:divBdr>
                    <w:top w:val="single" w:sz="6" w:space="1" w:color="D3D3D3"/>
                    <w:left w:val="none" w:sz="0" w:space="0" w:color="auto"/>
                    <w:bottom w:val="none" w:sz="0" w:space="0" w:color="auto"/>
                    <w:right w:val="none" w:sz="0" w:space="0" w:color="auto"/>
                  </w:divBdr>
                  <w:divsChild>
                    <w:div w:id="535965347">
                      <w:marLeft w:val="0"/>
                      <w:marRight w:val="0"/>
                      <w:marTop w:val="0"/>
                      <w:marBottom w:val="0"/>
                      <w:divBdr>
                        <w:top w:val="none" w:sz="0" w:space="0" w:color="auto"/>
                        <w:left w:val="none" w:sz="0" w:space="0" w:color="auto"/>
                        <w:bottom w:val="none" w:sz="0" w:space="0" w:color="auto"/>
                        <w:right w:val="none" w:sz="0" w:space="0" w:color="auto"/>
                      </w:divBdr>
                      <w:divsChild>
                        <w:div w:id="69356013">
                          <w:marLeft w:val="0"/>
                          <w:marRight w:val="0"/>
                          <w:marTop w:val="0"/>
                          <w:marBottom w:val="0"/>
                          <w:divBdr>
                            <w:top w:val="none" w:sz="0" w:space="0" w:color="auto"/>
                            <w:left w:val="none" w:sz="0" w:space="0" w:color="auto"/>
                            <w:bottom w:val="none" w:sz="0" w:space="0" w:color="auto"/>
                            <w:right w:val="none" w:sz="0" w:space="0" w:color="auto"/>
                          </w:divBdr>
                          <w:divsChild>
                            <w:div w:id="1890798951">
                              <w:marLeft w:val="0"/>
                              <w:marRight w:val="0"/>
                              <w:marTop w:val="0"/>
                              <w:marBottom w:val="0"/>
                              <w:divBdr>
                                <w:top w:val="none" w:sz="0" w:space="0" w:color="auto"/>
                                <w:left w:val="none" w:sz="0" w:space="0" w:color="auto"/>
                                <w:bottom w:val="none" w:sz="0" w:space="0" w:color="auto"/>
                                <w:right w:val="none" w:sz="0" w:space="0" w:color="auto"/>
                              </w:divBdr>
                              <w:divsChild>
                                <w:div w:id="749277622">
                                  <w:marLeft w:val="0"/>
                                  <w:marRight w:val="0"/>
                                  <w:marTop w:val="0"/>
                                  <w:marBottom w:val="0"/>
                                  <w:divBdr>
                                    <w:top w:val="none" w:sz="0" w:space="0" w:color="auto"/>
                                    <w:left w:val="none" w:sz="0" w:space="0" w:color="auto"/>
                                    <w:bottom w:val="none" w:sz="0" w:space="0" w:color="auto"/>
                                    <w:right w:val="none" w:sz="0" w:space="0" w:color="auto"/>
                                  </w:divBdr>
                                  <w:divsChild>
                                    <w:div w:id="993950716">
                                      <w:marLeft w:val="0"/>
                                      <w:marRight w:val="0"/>
                                      <w:marTop w:val="0"/>
                                      <w:marBottom w:val="0"/>
                                      <w:divBdr>
                                        <w:top w:val="none" w:sz="0" w:space="0" w:color="auto"/>
                                        <w:left w:val="none" w:sz="0" w:space="0" w:color="auto"/>
                                        <w:bottom w:val="none" w:sz="0" w:space="0" w:color="auto"/>
                                        <w:right w:val="none" w:sz="0" w:space="0" w:color="auto"/>
                                      </w:divBdr>
                                      <w:divsChild>
                                        <w:div w:id="676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3041550">
      <w:bodyDiv w:val="1"/>
      <w:marLeft w:val="0"/>
      <w:marRight w:val="0"/>
      <w:marTop w:val="0"/>
      <w:marBottom w:val="0"/>
      <w:divBdr>
        <w:top w:val="none" w:sz="0" w:space="0" w:color="auto"/>
        <w:left w:val="none" w:sz="0" w:space="0" w:color="auto"/>
        <w:bottom w:val="none" w:sz="0" w:space="0" w:color="auto"/>
        <w:right w:val="none" w:sz="0" w:space="0" w:color="auto"/>
      </w:divBdr>
      <w:divsChild>
        <w:div w:id="994450024">
          <w:marLeft w:val="0"/>
          <w:marRight w:val="0"/>
          <w:marTop w:val="0"/>
          <w:marBottom w:val="0"/>
          <w:divBdr>
            <w:top w:val="none" w:sz="0" w:space="0" w:color="auto"/>
            <w:left w:val="none" w:sz="0" w:space="0" w:color="auto"/>
            <w:bottom w:val="none" w:sz="0" w:space="0" w:color="auto"/>
            <w:right w:val="none" w:sz="0" w:space="0" w:color="auto"/>
          </w:divBdr>
          <w:divsChild>
            <w:div w:id="1393116617">
              <w:marLeft w:val="0"/>
              <w:marRight w:val="0"/>
              <w:marTop w:val="0"/>
              <w:marBottom w:val="0"/>
              <w:divBdr>
                <w:top w:val="single" w:sz="2" w:space="0" w:color="FFFFFF"/>
                <w:left w:val="single" w:sz="6" w:space="0" w:color="FFFFFF"/>
                <w:bottom w:val="single" w:sz="6" w:space="0" w:color="FFFFFF"/>
                <w:right w:val="single" w:sz="6" w:space="0" w:color="FFFFFF"/>
              </w:divBdr>
              <w:divsChild>
                <w:div w:id="1663238950">
                  <w:marLeft w:val="0"/>
                  <w:marRight w:val="0"/>
                  <w:marTop w:val="0"/>
                  <w:marBottom w:val="0"/>
                  <w:divBdr>
                    <w:top w:val="single" w:sz="6" w:space="1" w:color="D3D3D3"/>
                    <w:left w:val="none" w:sz="0" w:space="0" w:color="auto"/>
                    <w:bottom w:val="none" w:sz="0" w:space="0" w:color="auto"/>
                    <w:right w:val="none" w:sz="0" w:space="0" w:color="auto"/>
                  </w:divBdr>
                  <w:divsChild>
                    <w:div w:id="2072457078">
                      <w:marLeft w:val="0"/>
                      <w:marRight w:val="0"/>
                      <w:marTop w:val="0"/>
                      <w:marBottom w:val="0"/>
                      <w:divBdr>
                        <w:top w:val="none" w:sz="0" w:space="0" w:color="auto"/>
                        <w:left w:val="none" w:sz="0" w:space="0" w:color="auto"/>
                        <w:bottom w:val="none" w:sz="0" w:space="0" w:color="auto"/>
                        <w:right w:val="none" w:sz="0" w:space="0" w:color="auto"/>
                      </w:divBdr>
                      <w:divsChild>
                        <w:div w:id="198242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69535">
      <w:bodyDiv w:val="1"/>
      <w:marLeft w:val="0"/>
      <w:marRight w:val="0"/>
      <w:marTop w:val="0"/>
      <w:marBottom w:val="0"/>
      <w:divBdr>
        <w:top w:val="none" w:sz="0" w:space="0" w:color="auto"/>
        <w:left w:val="none" w:sz="0" w:space="0" w:color="auto"/>
        <w:bottom w:val="none" w:sz="0" w:space="0" w:color="auto"/>
        <w:right w:val="none" w:sz="0" w:space="0" w:color="auto"/>
      </w:divBdr>
      <w:divsChild>
        <w:div w:id="51007491">
          <w:marLeft w:val="0"/>
          <w:marRight w:val="0"/>
          <w:marTop w:val="0"/>
          <w:marBottom w:val="0"/>
          <w:divBdr>
            <w:top w:val="none" w:sz="0" w:space="0" w:color="auto"/>
            <w:left w:val="none" w:sz="0" w:space="0" w:color="auto"/>
            <w:bottom w:val="none" w:sz="0" w:space="0" w:color="auto"/>
            <w:right w:val="none" w:sz="0" w:space="0" w:color="auto"/>
          </w:divBdr>
          <w:divsChild>
            <w:div w:id="1456220400">
              <w:marLeft w:val="0"/>
              <w:marRight w:val="0"/>
              <w:marTop w:val="0"/>
              <w:marBottom w:val="0"/>
              <w:divBdr>
                <w:top w:val="single" w:sz="2" w:space="0" w:color="FFFFFF"/>
                <w:left w:val="single" w:sz="6" w:space="0" w:color="FFFFFF"/>
                <w:bottom w:val="single" w:sz="6" w:space="0" w:color="FFFFFF"/>
                <w:right w:val="single" w:sz="6" w:space="0" w:color="FFFFFF"/>
              </w:divBdr>
              <w:divsChild>
                <w:div w:id="966550887">
                  <w:marLeft w:val="0"/>
                  <w:marRight w:val="0"/>
                  <w:marTop w:val="0"/>
                  <w:marBottom w:val="0"/>
                  <w:divBdr>
                    <w:top w:val="single" w:sz="6" w:space="1" w:color="D3D3D3"/>
                    <w:left w:val="none" w:sz="0" w:space="0" w:color="auto"/>
                    <w:bottom w:val="none" w:sz="0" w:space="0" w:color="auto"/>
                    <w:right w:val="none" w:sz="0" w:space="0" w:color="auto"/>
                  </w:divBdr>
                  <w:divsChild>
                    <w:div w:id="359354051">
                      <w:marLeft w:val="0"/>
                      <w:marRight w:val="0"/>
                      <w:marTop w:val="0"/>
                      <w:marBottom w:val="0"/>
                      <w:divBdr>
                        <w:top w:val="none" w:sz="0" w:space="0" w:color="auto"/>
                        <w:left w:val="none" w:sz="0" w:space="0" w:color="auto"/>
                        <w:bottom w:val="none" w:sz="0" w:space="0" w:color="auto"/>
                        <w:right w:val="none" w:sz="0" w:space="0" w:color="auto"/>
                      </w:divBdr>
                      <w:divsChild>
                        <w:div w:id="6077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3301">
      <w:bodyDiv w:val="1"/>
      <w:marLeft w:val="0"/>
      <w:marRight w:val="0"/>
      <w:marTop w:val="0"/>
      <w:marBottom w:val="0"/>
      <w:divBdr>
        <w:top w:val="none" w:sz="0" w:space="0" w:color="auto"/>
        <w:left w:val="none" w:sz="0" w:space="0" w:color="auto"/>
        <w:bottom w:val="none" w:sz="0" w:space="0" w:color="auto"/>
        <w:right w:val="none" w:sz="0" w:space="0" w:color="auto"/>
      </w:divBdr>
      <w:divsChild>
        <w:div w:id="1649435489">
          <w:marLeft w:val="0"/>
          <w:marRight w:val="0"/>
          <w:marTop w:val="0"/>
          <w:marBottom w:val="0"/>
          <w:divBdr>
            <w:top w:val="none" w:sz="0" w:space="0" w:color="auto"/>
            <w:left w:val="none" w:sz="0" w:space="0" w:color="auto"/>
            <w:bottom w:val="none" w:sz="0" w:space="0" w:color="auto"/>
            <w:right w:val="none" w:sz="0" w:space="0" w:color="auto"/>
          </w:divBdr>
          <w:divsChild>
            <w:div w:id="481578519">
              <w:marLeft w:val="0"/>
              <w:marRight w:val="0"/>
              <w:marTop w:val="0"/>
              <w:marBottom w:val="0"/>
              <w:divBdr>
                <w:top w:val="single" w:sz="2" w:space="0" w:color="FFFFFF"/>
                <w:left w:val="single" w:sz="6" w:space="0" w:color="FFFFFF"/>
                <w:bottom w:val="single" w:sz="6" w:space="0" w:color="FFFFFF"/>
                <w:right w:val="single" w:sz="6" w:space="0" w:color="FFFFFF"/>
              </w:divBdr>
              <w:divsChild>
                <w:div w:id="432211128">
                  <w:marLeft w:val="0"/>
                  <w:marRight w:val="0"/>
                  <w:marTop w:val="0"/>
                  <w:marBottom w:val="0"/>
                  <w:divBdr>
                    <w:top w:val="single" w:sz="6" w:space="1" w:color="D3D3D3"/>
                    <w:left w:val="none" w:sz="0" w:space="0" w:color="auto"/>
                    <w:bottom w:val="none" w:sz="0" w:space="0" w:color="auto"/>
                    <w:right w:val="none" w:sz="0" w:space="0" w:color="auto"/>
                  </w:divBdr>
                  <w:divsChild>
                    <w:div w:id="951940008">
                      <w:marLeft w:val="0"/>
                      <w:marRight w:val="0"/>
                      <w:marTop w:val="0"/>
                      <w:marBottom w:val="0"/>
                      <w:divBdr>
                        <w:top w:val="none" w:sz="0" w:space="0" w:color="auto"/>
                        <w:left w:val="none" w:sz="0" w:space="0" w:color="auto"/>
                        <w:bottom w:val="none" w:sz="0" w:space="0" w:color="auto"/>
                        <w:right w:val="none" w:sz="0" w:space="0" w:color="auto"/>
                      </w:divBdr>
                      <w:divsChild>
                        <w:div w:id="9886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570153">
      <w:bodyDiv w:val="1"/>
      <w:marLeft w:val="0"/>
      <w:marRight w:val="0"/>
      <w:marTop w:val="0"/>
      <w:marBottom w:val="0"/>
      <w:divBdr>
        <w:top w:val="none" w:sz="0" w:space="0" w:color="auto"/>
        <w:left w:val="none" w:sz="0" w:space="0" w:color="auto"/>
        <w:bottom w:val="none" w:sz="0" w:space="0" w:color="auto"/>
        <w:right w:val="none" w:sz="0" w:space="0" w:color="auto"/>
      </w:divBdr>
      <w:divsChild>
        <w:div w:id="1970088514">
          <w:marLeft w:val="0"/>
          <w:marRight w:val="0"/>
          <w:marTop w:val="0"/>
          <w:marBottom w:val="0"/>
          <w:divBdr>
            <w:top w:val="none" w:sz="0" w:space="0" w:color="auto"/>
            <w:left w:val="none" w:sz="0" w:space="0" w:color="auto"/>
            <w:bottom w:val="none" w:sz="0" w:space="0" w:color="auto"/>
            <w:right w:val="none" w:sz="0" w:space="0" w:color="auto"/>
          </w:divBdr>
          <w:divsChild>
            <w:div w:id="1771464384">
              <w:marLeft w:val="0"/>
              <w:marRight w:val="0"/>
              <w:marTop w:val="0"/>
              <w:marBottom w:val="0"/>
              <w:divBdr>
                <w:top w:val="single" w:sz="2" w:space="0" w:color="FFFFFF"/>
                <w:left w:val="single" w:sz="6" w:space="0" w:color="FFFFFF"/>
                <w:bottom w:val="single" w:sz="6" w:space="0" w:color="FFFFFF"/>
                <w:right w:val="single" w:sz="6" w:space="0" w:color="FFFFFF"/>
              </w:divBdr>
              <w:divsChild>
                <w:div w:id="623076362">
                  <w:marLeft w:val="0"/>
                  <w:marRight w:val="0"/>
                  <w:marTop w:val="0"/>
                  <w:marBottom w:val="0"/>
                  <w:divBdr>
                    <w:top w:val="single" w:sz="6" w:space="1" w:color="D3D3D3"/>
                    <w:left w:val="none" w:sz="0" w:space="0" w:color="auto"/>
                    <w:bottom w:val="none" w:sz="0" w:space="0" w:color="auto"/>
                    <w:right w:val="none" w:sz="0" w:space="0" w:color="auto"/>
                  </w:divBdr>
                  <w:divsChild>
                    <w:div w:id="54820003">
                      <w:marLeft w:val="0"/>
                      <w:marRight w:val="0"/>
                      <w:marTop w:val="0"/>
                      <w:marBottom w:val="0"/>
                      <w:divBdr>
                        <w:top w:val="none" w:sz="0" w:space="0" w:color="auto"/>
                        <w:left w:val="none" w:sz="0" w:space="0" w:color="auto"/>
                        <w:bottom w:val="none" w:sz="0" w:space="0" w:color="auto"/>
                        <w:right w:val="none" w:sz="0" w:space="0" w:color="auto"/>
                      </w:divBdr>
                      <w:divsChild>
                        <w:div w:id="28503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102095">
      <w:bodyDiv w:val="1"/>
      <w:marLeft w:val="0"/>
      <w:marRight w:val="0"/>
      <w:marTop w:val="0"/>
      <w:marBottom w:val="0"/>
      <w:divBdr>
        <w:top w:val="none" w:sz="0" w:space="0" w:color="auto"/>
        <w:left w:val="none" w:sz="0" w:space="0" w:color="auto"/>
        <w:bottom w:val="none" w:sz="0" w:space="0" w:color="auto"/>
        <w:right w:val="none" w:sz="0" w:space="0" w:color="auto"/>
      </w:divBdr>
      <w:divsChild>
        <w:div w:id="217594238">
          <w:marLeft w:val="0"/>
          <w:marRight w:val="0"/>
          <w:marTop w:val="0"/>
          <w:marBottom w:val="0"/>
          <w:divBdr>
            <w:top w:val="none" w:sz="0" w:space="0" w:color="auto"/>
            <w:left w:val="none" w:sz="0" w:space="0" w:color="auto"/>
            <w:bottom w:val="none" w:sz="0" w:space="0" w:color="auto"/>
            <w:right w:val="none" w:sz="0" w:space="0" w:color="auto"/>
          </w:divBdr>
          <w:divsChild>
            <w:div w:id="509485342">
              <w:marLeft w:val="0"/>
              <w:marRight w:val="0"/>
              <w:marTop w:val="0"/>
              <w:marBottom w:val="0"/>
              <w:divBdr>
                <w:top w:val="single" w:sz="2" w:space="0" w:color="FFFFFF"/>
                <w:left w:val="single" w:sz="6" w:space="0" w:color="FFFFFF"/>
                <w:bottom w:val="single" w:sz="6" w:space="0" w:color="FFFFFF"/>
                <w:right w:val="single" w:sz="6" w:space="0" w:color="FFFFFF"/>
              </w:divBdr>
              <w:divsChild>
                <w:div w:id="1035158517">
                  <w:marLeft w:val="0"/>
                  <w:marRight w:val="0"/>
                  <w:marTop w:val="0"/>
                  <w:marBottom w:val="0"/>
                  <w:divBdr>
                    <w:top w:val="single" w:sz="6" w:space="1" w:color="D3D3D3"/>
                    <w:left w:val="none" w:sz="0" w:space="0" w:color="auto"/>
                    <w:bottom w:val="none" w:sz="0" w:space="0" w:color="auto"/>
                    <w:right w:val="none" w:sz="0" w:space="0" w:color="auto"/>
                  </w:divBdr>
                  <w:divsChild>
                    <w:div w:id="283191350">
                      <w:marLeft w:val="0"/>
                      <w:marRight w:val="0"/>
                      <w:marTop w:val="0"/>
                      <w:marBottom w:val="0"/>
                      <w:divBdr>
                        <w:top w:val="none" w:sz="0" w:space="0" w:color="auto"/>
                        <w:left w:val="none" w:sz="0" w:space="0" w:color="auto"/>
                        <w:bottom w:val="none" w:sz="0" w:space="0" w:color="auto"/>
                        <w:right w:val="none" w:sz="0" w:space="0" w:color="auto"/>
                      </w:divBdr>
                      <w:divsChild>
                        <w:div w:id="143740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333942">
      <w:bodyDiv w:val="1"/>
      <w:marLeft w:val="0"/>
      <w:marRight w:val="0"/>
      <w:marTop w:val="0"/>
      <w:marBottom w:val="0"/>
      <w:divBdr>
        <w:top w:val="none" w:sz="0" w:space="0" w:color="auto"/>
        <w:left w:val="none" w:sz="0" w:space="0" w:color="auto"/>
        <w:bottom w:val="none" w:sz="0" w:space="0" w:color="auto"/>
        <w:right w:val="none" w:sz="0" w:space="0" w:color="auto"/>
      </w:divBdr>
      <w:divsChild>
        <w:div w:id="1968461652">
          <w:marLeft w:val="0"/>
          <w:marRight w:val="0"/>
          <w:marTop w:val="0"/>
          <w:marBottom w:val="0"/>
          <w:divBdr>
            <w:top w:val="none" w:sz="0" w:space="0" w:color="auto"/>
            <w:left w:val="none" w:sz="0" w:space="0" w:color="auto"/>
            <w:bottom w:val="none" w:sz="0" w:space="0" w:color="auto"/>
            <w:right w:val="none" w:sz="0" w:space="0" w:color="auto"/>
          </w:divBdr>
          <w:divsChild>
            <w:div w:id="615405077">
              <w:marLeft w:val="0"/>
              <w:marRight w:val="0"/>
              <w:marTop w:val="0"/>
              <w:marBottom w:val="0"/>
              <w:divBdr>
                <w:top w:val="single" w:sz="2" w:space="0" w:color="FFFFFF"/>
                <w:left w:val="single" w:sz="6" w:space="0" w:color="FFFFFF"/>
                <w:bottom w:val="single" w:sz="6" w:space="0" w:color="FFFFFF"/>
                <w:right w:val="single" w:sz="6" w:space="0" w:color="FFFFFF"/>
              </w:divBdr>
              <w:divsChild>
                <w:div w:id="1633367375">
                  <w:marLeft w:val="0"/>
                  <w:marRight w:val="0"/>
                  <w:marTop w:val="0"/>
                  <w:marBottom w:val="0"/>
                  <w:divBdr>
                    <w:top w:val="single" w:sz="6" w:space="1" w:color="D3D3D3"/>
                    <w:left w:val="none" w:sz="0" w:space="0" w:color="auto"/>
                    <w:bottom w:val="none" w:sz="0" w:space="0" w:color="auto"/>
                    <w:right w:val="none" w:sz="0" w:space="0" w:color="auto"/>
                  </w:divBdr>
                  <w:divsChild>
                    <w:div w:id="444227680">
                      <w:marLeft w:val="0"/>
                      <w:marRight w:val="0"/>
                      <w:marTop w:val="0"/>
                      <w:marBottom w:val="0"/>
                      <w:divBdr>
                        <w:top w:val="none" w:sz="0" w:space="0" w:color="auto"/>
                        <w:left w:val="none" w:sz="0" w:space="0" w:color="auto"/>
                        <w:bottom w:val="none" w:sz="0" w:space="0" w:color="auto"/>
                        <w:right w:val="none" w:sz="0" w:space="0" w:color="auto"/>
                      </w:divBdr>
                      <w:divsChild>
                        <w:div w:id="6590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548978">
      <w:bodyDiv w:val="1"/>
      <w:marLeft w:val="0"/>
      <w:marRight w:val="0"/>
      <w:marTop w:val="0"/>
      <w:marBottom w:val="0"/>
      <w:divBdr>
        <w:top w:val="none" w:sz="0" w:space="0" w:color="auto"/>
        <w:left w:val="none" w:sz="0" w:space="0" w:color="auto"/>
        <w:bottom w:val="none" w:sz="0" w:space="0" w:color="auto"/>
        <w:right w:val="none" w:sz="0" w:space="0" w:color="auto"/>
      </w:divBdr>
      <w:divsChild>
        <w:div w:id="698507189">
          <w:marLeft w:val="0"/>
          <w:marRight w:val="0"/>
          <w:marTop w:val="0"/>
          <w:marBottom w:val="0"/>
          <w:divBdr>
            <w:top w:val="none" w:sz="0" w:space="0" w:color="auto"/>
            <w:left w:val="none" w:sz="0" w:space="0" w:color="auto"/>
            <w:bottom w:val="none" w:sz="0" w:space="0" w:color="auto"/>
            <w:right w:val="none" w:sz="0" w:space="0" w:color="auto"/>
          </w:divBdr>
          <w:divsChild>
            <w:div w:id="496270743">
              <w:marLeft w:val="0"/>
              <w:marRight w:val="0"/>
              <w:marTop w:val="0"/>
              <w:marBottom w:val="0"/>
              <w:divBdr>
                <w:top w:val="single" w:sz="2" w:space="0" w:color="FFFFFF"/>
                <w:left w:val="single" w:sz="6" w:space="0" w:color="FFFFFF"/>
                <w:bottom w:val="single" w:sz="6" w:space="0" w:color="FFFFFF"/>
                <w:right w:val="single" w:sz="6" w:space="0" w:color="FFFFFF"/>
              </w:divBdr>
              <w:divsChild>
                <w:div w:id="662396945">
                  <w:marLeft w:val="0"/>
                  <w:marRight w:val="0"/>
                  <w:marTop w:val="0"/>
                  <w:marBottom w:val="0"/>
                  <w:divBdr>
                    <w:top w:val="single" w:sz="6" w:space="1" w:color="D3D3D3"/>
                    <w:left w:val="none" w:sz="0" w:space="0" w:color="auto"/>
                    <w:bottom w:val="none" w:sz="0" w:space="0" w:color="auto"/>
                    <w:right w:val="none" w:sz="0" w:space="0" w:color="auto"/>
                  </w:divBdr>
                  <w:divsChild>
                    <w:div w:id="1141113991">
                      <w:marLeft w:val="0"/>
                      <w:marRight w:val="0"/>
                      <w:marTop w:val="0"/>
                      <w:marBottom w:val="0"/>
                      <w:divBdr>
                        <w:top w:val="none" w:sz="0" w:space="0" w:color="auto"/>
                        <w:left w:val="none" w:sz="0" w:space="0" w:color="auto"/>
                        <w:bottom w:val="none" w:sz="0" w:space="0" w:color="auto"/>
                        <w:right w:val="none" w:sz="0" w:space="0" w:color="auto"/>
                      </w:divBdr>
                      <w:divsChild>
                        <w:div w:id="13842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606112">
      <w:bodyDiv w:val="1"/>
      <w:marLeft w:val="0"/>
      <w:marRight w:val="0"/>
      <w:marTop w:val="0"/>
      <w:marBottom w:val="0"/>
      <w:divBdr>
        <w:top w:val="none" w:sz="0" w:space="0" w:color="auto"/>
        <w:left w:val="none" w:sz="0" w:space="0" w:color="auto"/>
        <w:bottom w:val="none" w:sz="0" w:space="0" w:color="auto"/>
        <w:right w:val="none" w:sz="0" w:space="0" w:color="auto"/>
      </w:divBdr>
      <w:divsChild>
        <w:div w:id="2007514856">
          <w:marLeft w:val="0"/>
          <w:marRight w:val="0"/>
          <w:marTop w:val="0"/>
          <w:marBottom w:val="0"/>
          <w:divBdr>
            <w:top w:val="none" w:sz="0" w:space="0" w:color="auto"/>
            <w:left w:val="none" w:sz="0" w:space="0" w:color="auto"/>
            <w:bottom w:val="none" w:sz="0" w:space="0" w:color="auto"/>
            <w:right w:val="none" w:sz="0" w:space="0" w:color="auto"/>
          </w:divBdr>
          <w:divsChild>
            <w:div w:id="698433480">
              <w:marLeft w:val="0"/>
              <w:marRight w:val="0"/>
              <w:marTop w:val="0"/>
              <w:marBottom w:val="0"/>
              <w:divBdr>
                <w:top w:val="single" w:sz="2" w:space="0" w:color="FFFFFF"/>
                <w:left w:val="single" w:sz="6" w:space="0" w:color="FFFFFF"/>
                <w:bottom w:val="single" w:sz="6" w:space="0" w:color="FFFFFF"/>
                <w:right w:val="single" w:sz="6" w:space="0" w:color="FFFFFF"/>
              </w:divBdr>
              <w:divsChild>
                <w:div w:id="1129973952">
                  <w:marLeft w:val="0"/>
                  <w:marRight w:val="0"/>
                  <w:marTop w:val="0"/>
                  <w:marBottom w:val="0"/>
                  <w:divBdr>
                    <w:top w:val="single" w:sz="6" w:space="1" w:color="D3D3D3"/>
                    <w:left w:val="none" w:sz="0" w:space="0" w:color="auto"/>
                    <w:bottom w:val="none" w:sz="0" w:space="0" w:color="auto"/>
                    <w:right w:val="none" w:sz="0" w:space="0" w:color="auto"/>
                  </w:divBdr>
                  <w:divsChild>
                    <w:div w:id="1733314463">
                      <w:marLeft w:val="0"/>
                      <w:marRight w:val="0"/>
                      <w:marTop w:val="0"/>
                      <w:marBottom w:val="0"/>
                      <w:divBdr>
                        <w:top w:val="none" w:sz="0" w:space="0" w:color="auto"/>
                        <w:left w:val="none" w:sz="0" w:space="0" w:color="auto"/>
                        <w:bottom w:val="none" w:sz="0" w:space="0" w:color="auto"/>
                        <w:right w:val="none" w:sz="0" w:space="0" w:color="auto"/>
                      </w:divBdr>
                      <w:divsChild>
                        <w:div w:id="294603153">
                          <w:marLeft w:val="0"/>
                          <w:marRight w:val="0"/>
                          <w:marTop w:val="0"/>
                          <w:marBottom w:val="0"/>
                          <w:divBdr>
                            <w:top w:val="none" w:sz="0" w:space="0" w:color="auto"/>
                            <w:left w:val="none" w:sz="0" w:space="0" w:color="auto"/>
                            <w:bottom w:val="none" w:sz="0" w:space="0" w:color="auto"/>
                            <w:right w:val="none" w:sz="0" w:space="0" w:color="auto"/>
                          </w:divBdr>
                          <w:divsChild>
                            <w:div w:id="1854565330">
                              <w:marLeft w:val="0"/>
                              <w:marRight w:val="0"/>
                              <w:marTop w:val="0"/>
                              <w:marBottom w:val="0"/>
                              <w:divBdr>
                                <w:top w:val="none" w:sz="0" w:space="0" w:color="auto"/>
                                <w:left w:val="none" w:sz="0" w:space="0" w:color="auto"/>
                                <w:bottom w:val="none" w:sz="0" w:space="0" w:color="auto"/>
                                <w:right w:val="none" w:sz="0" w:space="0" w:color="auto"/>
                              </w:divBdr>
                              <w:divsChild>
                                <w:div w:id="642584807">
                                  <w:marLeft w:val="0"/>
                                  <w:marRight w:val="0"/>
                                  <w:marTop w:val="0"/>
                                  <w:marBottom w:val="0"/>
                                  <w:divBdr>
                                    <w:top w:val="none" w:sz="0" w:space="0" w:color="auto"/>
                                    <w:left w:val="none" w:sz="0" w:space="0" w:color="auto"/>
                                    <w:bottom w:val="none" w:sz="0" w:space="0" w:color="auto"/>
                                    <w:right w:val="none" w:sz="0" w:space="0" w:color="auto"/>
                                  </w:divBdr>
                                  <w:divsChild>
                                    <w:div w:id="307444971">
                                      <w:marLeft w:val="0"/>
                                      <w:marRight w:val="0"/>
                                      <w:marTop w:val="0"/>
                                      <w:marBottom w:val="0"/>
                                      <w:divBdr>
                                        <w:top w:val="none" w:sz="0" w:space="0" w:color="auto"/>
                                        <w:left w:val="none" w:sz="0" w:space="0" w:color="auto"/>
                                        <w:bottom w:val="none" w:sz="0" w:space="0" w:color="auto"/>
                                        <w:right w:val="none" w:sz="0" w:space="0" w:color="auto"/>
                                      </w:divBdr>
                                      <w:divsChild>
                                        <w:div w:id="1304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336694">
      <w:bodyDiv w:val="1"/>
      <w:marLeft w:val="0"/>
      <w:marRight w:val="0"/>
      <w:marTop w:val="0"/>
      <w:marBottom w:val="0"/>
      <w:divBdr>
        <w:top w:val="none" w:sz="0" w:space="0" w:color="auto"/>
        <w:left w:val="none" w:sz="0" w:space="0" w:color="auto"/>
        <w:bottom w:val="none" w:sz="0" w:space="0" w:color="auto"/>
        <w:right w:val="none" w:sz="0" w:space="0" w:color="auto"/>
      </w:divBdr>
      <w:divsChild>
        <w:div w:id="866453163">
          <w:marLeft w:val="0"/>
          <w:marRight w:val="0"/>
          <w:marTop w:val="0"/>
          <w:marBottom w:val="0"/>
          <w:divBdr>
            <w:top w:val="none" w:sz="0" w:space="0" w:color="auto"/>
            <w:left w:val="none" w:sz="0" w:space="0" w:color="auto"/>
            <w:bottom w:val="none" w:sz="0" w:space="0" w:color="auto"/>
            <w:right w:val="none" w:sz="0" w:space="0" w:color="auto"/>
          </w:divBdr>
          <w:divsChild>
            <w:div w:id="839008565">
              <w:marLeft w:val="0"/>
              <w:marRight w:val="0"/>
              <w:marTop w:val="0"/>
              <w:marBottom w:val="0"/>
              <w:divBdr>
                <w:top w:val="single" w:sz="2" w:space="0" w:color="FFFFFF"/>
                <w:left w:val="single" w:sz="6" w:space="0" w:color="FFFFFF"/>
                <w:bottom w:val="single" w:sz="6" w:space="0" w:color="FFFFFF"/>
                <w:right w:val="single" w:sz="6" w:space="0" w:color="FFFFFF"/>
              </w:divBdr>
              <w:divsChild>
                <w:div w:id="781612912">
                  <w:marLeft w:val="0"/>
                  <w:marRight w:val="0"/>
                  <w:marTop w:val="0"/>
                  <w:marBottom w:val="0"/>
                  <w:divBdr>
                    <w:top w:val="single" w:sz="6" w:space="1" w:color="D3D3D3"/>
                    <w:left w:val="none" w:sz="0" w:space="0" w:color="auto"/>
                    <w:bottom w:val="none" w:sz="0" w:space="0" w:color="auto"/>
                    <w:right w:val="none" w:sz="0" w:space="0" w:color="auto"/>
                  </w:divBdr>
                  <w:divsChild>
                    <w:div w:id="1016232016">
                      <w:marLeft w:val="0"/>
                      <w:marRight w:val="0"/>
                      <w:marTop w:val="0"/>
                      <w:marBottom w:val="0"/>
                      <w:divBdr>
                        <w:top w:val="none" w:sz="0" w:space="0" w:color="auto"/>
                        <w:left w:val="none" w:sz="0" w:space="0" w:color="auto"/>
                        <w:bottom w:val="none" w:sz="0" w:space="0" w:color="auto"/>
                        <w:right w:val="none" w:sz="0" w:space="0" w:color="auto"/>
                      </w:divBdr>
                      <w:divsChild>
                        <w:div w:id="7382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502658">
      <w:bodyDiv w:val="1"/>
      <w:marLeft w:val="0"/>
      <w:marRight w:val="0"/>
      <w:marTop w:val="0"/>
      <w:marBottom w:val="0"/>
      <w:divBdr>
        <w:top w:val="none" w:sz="0" w:space="0" w:color="auto"/>
        <w:left w:val="none" w:sz="0" w:space="0" w:color="auto"/>
        <w:bottom w:val="none" w:sz="0" w:space="0" w:color="auto"/>
        <w:right w:val="none" w:sz="0" w:space="0" w:color="auto"/>
      </w:divBdr>
      <w:divsChild>
        <w:div w:id="1692492416">
          <w:marLeft w:val="0"/>
          <w:marRight w:val="0"/>
          <w:marTop w:val="0"/>
          <w:marBottom w:val="0"/>
          <w:divBdr>
            <w:top w:val="none" w:sz="0" w:space="0" w:color="auto"/>
            <w:left w:val="none" w:sz="0" w:space="0" w:color="auto"/>
            <w:bottom w:val="none" w:sz="0" w:space="0" w:color="auto"/>
            <w:right w:val="none" w:sz="0" w:space="0" w:color="auto"/>
          </w:divBdr>
          <w:divsChild>
            <w:div w:id="212354839">
              <w:marLeft w:val="0"/>
              <w:marRight w:val="0"/>
              <w:marTop w:val="0"/>
              <w:marBottom w:val="0"/>
              <w:divBdr>
                <w:top w:val="single" w:sz="2" w:space="0" w:color="FFFFFF"/>
                <w:left w:val="single" w:sz="6" w:space="0" w:color="FFFFFF"/>
                <w:bottom w:val="single" w:sz="6" w:space="0" w:color="FFFFFF"/>
                <w:right w:val="single" w:sz="6" w:space="0" w:color="FFFFFF"/>
              </w:divBdr>
              <w:divsChild>
                <w:div w:id="873226264">
                  <w:marLeft w:val="0"/>
                  <w:marRight w:val="0"/>
                  <w:marTop w:val="0"/>
                  <w:marBottom w:val="0"/>
                  <w:divBdr>
                    <w:top w:val="single" w:sz="6" w:space="1" w:color="D3D3D3"/>
                    <w:left w:val="none" w:sz="0" w:space="0" w:color="auto"/>
                    <w:bottom w:val="none" w:sz="0" w:space="0" w:color="auto"/>
                    <w:right w:val="none" w:sz="0" w:space="0" w:color="auto"/>
                  </w:divBdr>
                  <w:divsChild>
                    <w:div w:id="2002466251">
                      <w:marLeft w:val="0"/>
                      <w:marRight w:val="0"/>
                      <w:marTop w:val="0"/>
                      <w:marBottom w:val="0"/>
                      <w:divBdr>
                        <w:top w:val="none" w:sz="0" w:space="0" w:color="auto"/>
                        <w:left w:val="none" w:sz="0" w:space="0" w:color="auto"/>
                        <w:bottom w:val="none" w:sz="0" w:space="0" w:color="auto"/>
                        <w:right w:val="none" w:sz="0" w:space="0" w:color="auto"/>
                      </w:divBdr>
                      <w:divsChild>
                        <w:div w:id="10386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199158">
      <w:bodyDiv w:val="1"/>
      <w:marLeft w:val="0"/>
      <w:marRight w:val="0"/>
      <w:marTop w:val="0"/>
      <w:marBottom w:val="0"/>
      <w:divBdr>
        <w:top w:val="none" w:sz="0" w:space="0" w:color="auto"/>
        <w:left w:val="none" w:sz="0" w:space="0" w:color="auto"/>
        <w:bottom w:val="none" w:sz="0" w:space="0" w:color="auto"/>
        <w:right w:val="none" w:sz="0" w:space="0" w:color="auto"/>
      </w:divBdr>
      <w:divsChild>
        <w:div w:id="1584947950">
          <w:marLeft w:val="0"/>
          <w:marRight w:val="0"/>
          <w:marTop w:val="0"/>
          <w:marBottom w:val="0"/>
          <w:divBdr>
            <w:top w:val="none" w:sz="0" w:space="0" w:color="auto"/>
            <w:left w:val="none" w:sz="0" w:space="0" w:color="auto"/>
            <w:bottom w:val="none" w:sz="0" w:space="0" w:color="auto"/>
            <w:right w:val="none" w:sz="0" w:space="0" w:color="auto"/>
          </w:divBdr>
          <w:divsChild>
            <w:div w:id="2002999114">
              <w:marLeft w:val="0"/>
              <w:marRight w:val="0"/>
              <w:marTop w:val="0"/>
              <w:marBottom w:val="0"/>
              <w:divBdr>
                <w:top w:val="single" w:sz="2" w:space="0" w:color="FFFFFF"/>
                <w:left w:val="single" w:sz="6" w:space="0" w:color="FFFFFF"/>
                <w:bottom w:val="single" w:sz="6" w:space="0" w:color="FFFFFF"/>
                <w:right w:val="single" w:sz="6" w:space="0" w:color="FFFFFF"/>
              </w:divBdr>
              <w:divsChild>
                <w:div w:id="407263491">
                  <w:marLeft w:val="0"/>
                  <w:marRight w:val="0"/>
                  <w:marTop w:val="0"/>
                  <w:marBottom w:val="0"/>
                  <w:divBdr>
                    <w:top w:val="single" w:sz="6" w:space="1" w:color="D3D3D3"/>
                    <w:left w:val="none" w:sz="0" w:space="0" w:color="auto"/>
                    <w:bottom w:val="none" w:sz="0" w:space="0" w:color="auto"/>
                    <w:right w:val="none" w:sz="0" w:space="0" w:color="auto"/>
                  </w:divBdr>
                  <w:divsChild>
                    <w:div w:id="145558940">
                      <w:marLeft w:val="0"/>
                      <w:marRight w:val="0"/>
                      <w:marTop w:val="0"/>
                      <w:marBottom w:val="0"/>
                      <w:divBdr>
                        <w:top w:val="none" w:sz="0" w:space="0" w:color="auto"/>
                        <w:left w:val="none" w:sz="0" w:space="0" w:color="auto"/>
                        <w:bottom w:val="none" w:sz="0" w:space="0" w:color="auto"/>
                        <w:right w:val="none" w:sz="0" w:space="0" w:color="auto"/>
                      </w:divBdr>
                      <w:divsChild>
                        <w:div w:id="21462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4546">
      <w:bodyDiv w:val="1"/>
      <w:marLeft w:val="0"/>
      <w:marRight w:val="0"/>
      <w:marTop w:val="0"/>
      <w:marBottom w:val="0"/>
      <w:divBdr>
        <w:top w:val="none" w:sz="0" w:space="0" w:color="auto"/>
        <w:left w:val="none" w:sz="0" w:space="0" w:color="auto"/>
        <w:bottom w:val="none" w:sz="0" w:space="0" w:color="auto"/>
        <w:right w:val="none" w:sz="0" w:space="0" w:color="auto"/>
      </w:divBdr>
      <w:divsChild>
        <w:div w:id="2029484567">
          <w:marLeft w:val="0"/>
          <w:marRight w:val="0"/>
          <w:marTop w:val="0"/>
          <w:marBottom w:val="0"/>
          <w:divBdr>
            <w:top w:val="none" w:sz="0" w:space="0" w:color="auto"/>
            <w:left w:val="none" w:sz="0" w:space="0" w:color="auto"/>
            <w:bottom w:val="none" w:sz="0" w:space="0" w:color="auto"/>
            <w:right w:val="none" w:sz="0" w:space="0" w:color="auto"/>
          </w:divBdr>
          <w:divsChild>
            <w:div w:id="1123889445">
              <w:marLeft w:val="0"/>
              <w:marRight w:val="0"/>
              <w:marTop w:val="0"/>
              <w:marBottom w:val="0"/>
              <w:divBdr>
                <w:top w:val="single" w:sz="2" w:space="0" w:color="FFFFFF"/>
                <w:left w:val="single" w:sz="6" w:space="0" w:color="FFFFFF"/>
                <w:bottom w:val="single" w:sz="6" w:space="0" w:color="FFFFFF"/>
                <w:right w:val="single" w:sz="6" w:space="0" w:color="FFFFFF"/>
              </w:divBdr>
              <w:divsChild>
                <w:div w:id="1260219638">
                  <w:marLeft w:val="0"/>
                  <w:marRight w:val="0"/>
                  <w:marTop w:val="0"/>
                  <w:marBottom w:val="0"/>
                  <w:divBdr>
                    <w:top w:val="single" w:sz="6" w:space="1" w:color="D3D3D3"/>
                    <w:left w:val="none" w:sz="0" w:space="0" w:color="auto"/>
                    <w:bottom w:val="none" w:sz="0" w:space="0" w:color="auto"/>
                    <w:right w:val="none" w:sz="0" w:space="0" w:color="auto"/>
                  </w:divBdr>
                  <w:divsChild>
                    <w:div w:id="404424533">
                      <w:marLeft w:val="0"/>
                      <w:marRight w:val="0"/>
                      <w:marTop w:val="0"/>
                      <w:marBottom w:val="0"/>
                      <w:divBdr>
                        <w:top w:val="none" w:sz="0" w:space="0" w:color="auto"/>
                        <w:left w:val="none" w:sz="0" w:space="0" w:color="auto"/>
                        <w:bottom w:val="none" w:sz="0" w:space="0" w:color="auto"/>
                        <w:right w:val="none" w:sz="0" w:space="0" w:color="auto"/>
                      </w:divBdr>
                      <w:divsChild>
                        <w:div w:id="92941736">
                          <w:marLeft w:val="0"/>
                          <w:marRight w:val="0"/>
                          <w:marTop w:val="0"/>
                          <w:marBottom w:val="0"/>
                          <w:divBdr>
                            <w:top w:val="none" w:sz="0" w:space="0" w:color="auto"/>
                            <w:left w:val="none" w:sz="0" w:space="0" w:color="auto"/>
                            <w:bottom w:val="none" w:sz="0" w:space="0" w:color="auto"/>
                            <w:right w:val="none" w:sz="0" w:space="0" w:color="auto"/>
                          </w:divBdr>
                          <w:divsChild>
                            <w:div w:id="2106145673">
                              <w:marLeft w:val="0"/>
                              <w:marRight w:val="0"/>
                              <w:marTop w:val="0"/>
                              <w:marBottom w:val="0"/>
                              <w:divBdr>
                                <w:top w:val="none" w:sz="0" w:space="0" w:color="auto"/>
                                <w:left w:val="none" w:sz="0" w:space="0" w:color="auto"/>
                                <w:bottom w:val="none" w:sz="0" w:space="0" w:color="auto"/>
                                <w:right w:val="none" w:sz="0" w:space="0" w:color="auto"/>
                              </w:divBdr>
                              <w:divsChild>
                                <w:div w:id="1295987625">
                                  <w:marLeft w:val="0"/>
                                  <w:marRight w:val="0"/>
                                  <w:marTop w:val="0"/>
                                  <w:marBottom w:val="0"/>
                                  <w:divBdr>
                                    <w:top w:val="none" w:sz="0" w:space="0" w:color="auto"/>
                                    <w:left w:val="none" w:sz="0" w:space="0" w:color="auto"/>
                                    <w:bottom w:val="none" w:sz="0" w:space="0" w:color="auto"/>
                                    <w:right w:val="none" w:sz="0" w:space="0" w:color="auto"/>
                                  </w:divBdr>
                                  <w:divsChild>
                                    <w:div w:id="1855532411">
                                      <w:marLeft w:val="0"/>
                                      <w:marRight w:val="0"/>
                                      <w:marTop w:val="0"/>
                                      <w:marBottom w:val="0"/>
                                      <w:divBdr>
                                        <w:top w:val="none" w:sz="0" w:space="0" w:color="auto"/>
                                        <w:left w:val="none" w:sz="0" w:space="0" w:color="auto"/>
                                        <w:bottom w:val="none" w:sz="0" w:space="0" w:color="auto"/>
                                        <w:right w:val="none" w:sz="0" w:space="0" w:color="auto"/>
                                      </w:divBdr>
                                      <w:divsChild>
                                        <w:div w:id="55288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8069925">
      <w:bodyDiv w:val="1"/>
      <w:marLeft w:val="0"/>
      <w:marRight w:val="0"/>
      <w:marTop w:val="0"/>
      <w:marBottom w:val="0"/>
      <w:divBdr>
        <w:top w:val="none" w:sz="0" w:space="0" w:color="auto"/>
        <w:left w:val="none" w:sz="0" w:space="0" w:color="auto"/>
        <w:bottom w:val="none" w:sz="0" w:space="0" w:color="auto"/>
        <w:right w:val="none" w:sz="0" w:space="0" w:color="auto"/>
      </w:divBdr>
      <w:divsChild>
        <w:div w:id="7027072">
          <w:marLeft w:val="0"/>
          <w:marRight w:val="0"/>
          <w:marTop w:val="0"/>
          <w:marBottom w:val="0"/>
          <w:divBdr>
            <w:top w:val="none" w:sz="0" w:space="0" w:color="auto"/>
            <w:left w:val="none" w:sz="0" w:space="0" w:color="auto"/>
            <w:bottom w:val="none" w:sz="0" w:space="0" w:color="auto"/>
            <w:right w:val="none" w:sz="0" w:space="0" w:color="auto"/>
          </w:divBdr>
          <w:divsChild>
            <w:div w:id="1653754518">
              <w:marLeft w:val="0"/>
              <w:marRight w:val="0"/>
              <w:marTop w:val="0"/>
              <w:marBottom w:val="0"/>
              <w:divBdr>
                <w:top w:val="single" w:sz="2" w:space="0" w:color="FFFFFF"/>
                <w:left w:val="single" w:sz="6" w:space="0" w:color="FFFFFF"/>
                <w:bottom w:val="single" w:sz="6" w:space="0" w:color="FFFFFF"/>
                <w:right w:val="single" w:sz="6" w:space="0" w:color="FFFFFF"/>
              </w:divBdr>
              <w:divsChild>
                <w:div w:id="1282834076">
                  <w:marLeft w:val="0"/>
                  <w:marRight w:val="0"/>
                  <w:marTop w:val="0"/>
                  <w:marBottom w:val="0"/>
                  <w:divBdr>
                    <w:top w:val="single" w:sz="6" w:space="1" w:color="D3D3D3"/>
                    <w:left w:val="none" w:sz="0" w:space="0" w:color="auto"/>
                    <w:bottom w:val="none" w:sz="0" w:space="0" w:color="auto"/>
                    <w:right w:val="none" w:sz="0" w:space="0" w:color="auto"/>
                  </w:divBdr>
                  <w:divsChild>
                    <w:div w:id="1610118708">
                      <w:marLeft w:val="0"/>
                      <w:marRight w:val="0"/>
                      <w:marTop w:val="0"/>
                      <w:marBottom w:val="0"/>
                      <w:divBdr>
                        <w:top w:val="none" w:sz="0" w:space="0" w:color="auto"/>
                        <w:left w:val="none" w:sz="0" w:space="0" w:color="auto"/>
                        <w:bottom w:val="none" w:sz="0" w:space="0" w:color="auto"/>
                        <w:right w:val="none" w:sz="0" w:space="0" w:color="auto"/>
                      </w:divBdr>
                      <w:divsChild>
                        <w:div w:id="964628013">
                          <w:marLeft w:val="0"/>
                          <w:marRight w:val="0"/>
                          <w:marTop w:val="0"/>
                          <w:marBottom w:val="0"/>
                          <w:divBdr>
                            <w:top w:val="none" w:sz="0" w:space="0" w:color="auto"/>
                            <w:left w:val="none" w:sz="0" w:space="0" w:color="auto"/>
                            <w:bottom w:val="none" w:sz="0" w:space="0" w:color="auto"/>
                            <w:right w:val="none" w:sz="0" w:space="0" w:color="auto"/>
                          </w:divBdr>
                          <w:divsChild>
                            <w:div w:id="1084492172">
                              <w:marLeft w:val="0"/>
                              <w:marRight w:val="0"/>
                              <w:marTop w:val="0"/>
                              <w:marBottom w:val="0"/>
                              <w:divBdr>
                                <w:top w:val="none" w:sz="0" w:space="0" w:color="auto"/>
                                <w:left w:val="none" w:sz="0" w:space="0" w:color="auto"/>
                                <w:bottom w:val="none" w:sz="0" w:space="0" w:color="auto"/>
                                <w:right w:val="none" w:sz="0" w:space="0" w:color="auto"/>
                              </w:divBdr>
                              <w:divsChild>
                                <w:div w:id="1997755746">
                                  <w:marLeft w:val="0"/>
                                  <w:marRight w:val="0"/>
                                  <w:marTop w:val="0"/>
                                  <w:marBottom w:val="0"/>
                                  <w:divBdr>
                                    <w:top w:val="none" w:sz="0" w:space="0" w:color="auto"/>
                                    <w:left w:val="none" w:sz="0" w:space="0" w:color="auto"/>
                                    <w:bottom w:val="none" w:sz="0" w:space="0" w:color="auto"/>
                                    <w:right w:val="none" w:sz="0" w:space="0" w:color="auto"/>
                                  </w:divBdr>
                                  <w:divsChild>
                                    <w:div w:id="445539625">
                                      <w:marLeft w:val="0"/>
                                      <w:marRight w:val="0"/>
                                      <w:marTop w:val="0"/>
                                      <w:marBottom w:val="0"/>
                                      <w:divBdr>
                                        <w:top w:val="none" w:sz="0" w:space="0" w:color="auto"/>
                                        <w:left w:val="none" w:sz="0" w:space="0" w:color="auto"/>
                                        <w:bottom w:val="none" w:sz="0" w:space="0" w:color="auto"/>
                                        <w:right w:val="none" w:sz="0" w:space="0" w:color="auto"/>
                                      </w:divBdr>
                                      <w:divsChild>
                                        <w:div w:id="36367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083462">
      <w:bodyDiv w:val="1"/>
      <w:marLeft w:val="0"/>
      <w:marRight w:val="0"/>
      <w:marTop w:val="0"/>
      <w:marBottom w:val="0"/>
      <w:divBdr>
        <w:top w:val="none" w:sz="0" w:space="0" w:color="auto"/>
        <w:left w:val="none" w:sz="0" w:space="0" w:color="auto"/>
        <w:bottom w:val="none" w:sz="0" w:space="0" w:color="auto"/>
        <w:right w:val="none" w:sz="0" w:space="0" w:color="auto"/>
      </w:divBdr>
      <w:divsChild>
        <w:div w:id="774329770">
          <w:marLeft w:val="0"/>
          <w:marRight w:val="0"/>
          <w:marTop w:val="0"/>
          <w:marBottom w:val="0"/>
          <w:divBdr>
            <w:top w:val="none" w:sz="0" w:space="0" w:color="auto"/>
            <w:left w:val="none" w:sz="0" w:space="0" w:color="auto"/>
            <w:bottom w:val="none" w:sz="0" w:space="0" w:color="auto"/>
            <w:right w:val="none" w:sz="0" w:space="0" w:color="auto"/>
          </w:divBdr>
          <w:divsChild>
            <w:div w:id="610169218">
              <w:marLeft w:val="0"/>
              <w:marRight w:val="0"/>
              <w:marTop w:val="0"/>
              <w:marBottom w:val="0"/>
              <w:divBdr>
                <w:top w:val="single" w:sz="2" w:space="0" w:color="FFFFFF"/>
                <w:left w:val="single" w:sz="6" w:space="0" w:color="FFFFFF"/>
                <w:bottom w:val="single" w:sz="6" w:space="0" w:color="FFFFFF"/>
                <w:right w:val="single" w:sz="6" w:space="0" w:color="FFFFFF"/>
              </w:divBdr>
              <w:divsChild>
                <w:div w:id="1097405172">
                  <w:marLeft w:val="0"/>
                  <w:marRight w:val="0"/>
                  <w:marTop w:val="0"/>
                  <w:marBottom w:val="0"/>
                  <w:divBdr>
                    <w:top w:val="single" w:sz="6" w:space="1" w:color="D3D3D3"/>
                    <w:left w:val="none" w:sz="0" w:space="0" w:color="auto"/>
                    <w:bottom w:val="none" w:sz="0" w:space="0" w:color="auto"/>
                    <w:right w:val="none" w:sz="0" w:space="0" w:color="auto"/>
                  </w:divBdr>
                  <w:divsChild>
                    <w:div w:id="1221670257">
                      <w:marLeft w:val="0"/>
                      <w:marRight w:val="0"/>
                      <w:marTop w:val="0"/>
                      <w:marBottom w:val="0"/>
                      <w:divBdr>
                        <w:top w:val="none" w:sz="0" w:space="0" w:color="auto"/>
                        <w:left w:val="none" w:sz="0" w:space="0" w:color="auto"/>
                        <w:bottom w:val="none" w:sz="0" w:space="0" w:color="auto"/>
                        <w:right w:val="none" w:sz="0" w:space="0" w:color="auto"/>
                      </w:divBdr>
                      <w:divsChild>
                        <w:div w:id="121126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2/1124/ma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slation.gov.uk/uksi/2012/1124/made" TargetMode="External"/><Relationship Id="rId12" Type="http://schemas.openxmlformats.org/officeDocument/2006/relationships/hyperlink" Target="http://www.legislation.gov.uk/uksi/2012/1124/ma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gislation.gov.uk/id/ukpga/2006/40" TargetMode="External"/><Relationship Id="rId11" Type="http://schemas.openxmlformats.org/officeDocument/2006/relationships/hyperlink" Target="http://www.legislation.gov.uk/id/ukpga/2010/15" TargetMode="External"/><Relationship Id="rId5" Type="http://schemas.openxmlformats.org/officeDocument/2006/relationships/hyperlink" Target="http://www.legislation.gov.uk/uksi/2012/1124/made" TargetMode="External"/><Relationship Id="rId10" Type="http://schemas.openxmlformats.org/officeDocument/2006/relationships/hyperlink" Target="http://www.legislation.gov.uk/id/uksi/1999/2506" TargetMode="External"/><Relationship Id="rId4" Type="http://schemas.openxmlformats.org/officeDocument/2006/relationships/webSettings" Target="webSettings.xml"/><Relationship Id="rId9" Type="http://schemas.openxmlformats.org/officeDocument/2006/relationships/hyperlink" Target="http://www.legislation.gov.uk/id/ukpga/2005/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34958FD</Template>
  <TotalTime>3</TotalTime>
  <Pages>3</Pages>
  <Words>1008</Words>
  <Characters>5746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Diana - ELS SSP</dc:creator>
  <cp:lastModifiedBy>Wimble, Tracey  - ELS CDO</cp:lastModifiedBy>
  <cp:revision>2</cp:revision>
  <cp:lastPrinted>2014-10-31T13:09:00Z</cp:lastPrinted>
  <dcterms:created xsi:type="dcterms:W3CDTF">2015-05-12T12:15:00Z</dcterms:created>
  <dcterms:modified xsi:type="dcterms:W3CDTF">2015-05-12T12:15:00Z</dcterms:modified>
</cp:coreProperties>
</file>