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D0C4" w14:textId="77777777" w:rsidR="00AF26C3" w:rsidRPr="00E64EAA" w:rsidRDefault="00AF26C3" w:rsidP="00AF26C3">
      <w:pPr>
        <w:rPr>
          <w:b/>
          <w:color w:val="4F81BD"/>
          <w:sz w:val="24"/>
          <w:szCs w:val="24"/>
        </w:rPr>
      </w:pPr>
      <w:r w:rsidRPr="00E64EAA">
        <w:rPr>
          <w:rFonts w:eastAsia="Times New Roman"/>
          <w:b/>
          <w:color w:val="000000" w:themeColor="text1"/>
          <w:sz w:val="24"/>
          <w:szCs w:val="24"/>
          <w:lang w:eastAsia="en-GB"/>
        </w:rPr>
        <w:t>Who is responsible for safety when a school holds an event on its premises</w:t>
      </w:r>
      <w:r w:rsidRPr="00E64EAA">
        <w:rPr>
          <w:b/>
          <w:color w:val="000000" w:themeColor="text1"/>
          <w:sz w:val="24"/>
          <w:szCs w:val="24"/>
        </w:rPr>
        <w:t xml:space="preserve"> </w:t>
      </w:r>
      <w:r w:rsidRPr="00E64EAA">
        <w:rPr>
          <w:b/>
          <w:color w:val="000000" w:themeColor="text1"/>
          <w:sz w:val="24"/>
          <w:szCs w:val="24"/>
        </w:rPr>
        <w:br/>
      </w:r>
    </w:p>
    <w:p w14:paraId="75AB53FF" w14:textId="77F0D62F" w:rsidR="004F7942" w:rsidRPr="00E64EAA" w:rsidRDefault="004F7942" w:rsidP="00AF26C3">
      <w:pPr>
        <w:rPr>
          <w:b/>
          <w:color w:val="4F81BD"/>
          <w:sz w:val="24"/>
          <w:szCs w:val="24"/>
        </w:rPr>
      </w:pPr>
      <w:r w:rsidRPr="00E64EAA">
        <w:rPr>
          <w:sz w:val="24"/>
          <w:szCs w:val="24"/>
        </w:rPr>
        <w:t xml:space="preserve">Schools cannot relinquish any health and safety responsibilities for outside organisations that hold events on school premises. These events can involve governors, the PTA, volunteers, parents, school staff and outside companies, and they all have a role to play in the delivery of a safe event. </w:t>
      </w:r>
      <w:r w:rsidRPr="00E64EAA">
        <w:rPr>
          <w:sz w:val="24"/>
          <w:szCs w:val="24"/>
        </w:rPr>
        <w:tab/>
      </w:r>
    </w:p>
    <w:p w14:paraId="48C2652F" w14:textId="77777777" w:rsidR="004F7942" w:rsidRPr="00E64EAA" w:rsidRDefault="004F7942" w:rsidP="004F7942">
      <w:pPr>
        <w:rPr>
          <w:sz w:val="24"/>
          <w:szCs w:val="24"/>
        </w:rPr>
      </w:pPr>
      <w:r w:rsidRPr="00E64EAA">
        <w:rPr>
          <w:sz w:val="24"/>
          <w:szCs w:val="24"/>
        </w:rPr>
        <w:t>Schools and governors must take account of the following: -</w:t>
      </w:r>
    </w:p>
    <w:p w14:paraId="64B0862D" w14:textId="203AE865" w:rsidR="004F7942" w:rsidRPr="00E64EAA" w:rsidRDefault="00E64EAA" w:rsidP="004F7942">
      <w:pPr>
        <w:numPr>
          <w:ilvl w:val="0"/>
          <w:numId w:val="8"/>
        </w:numPr>
        <w:spacing w:after="0" w:line="240" w:lineRule="auto"/>
        <w:jc w:val="both"/>
        <w:rPr>
          <w:sz w:val="24"/>
          <w:szCs w:val="24"/>
        </w:rPr>
      </w:pPr>
      <w:r>
        <w:rPr>
          <w:sz w:val="24"/>
          <w:szCs w:val="24"/>
        </w:rPr>
        <w:t>I</w:t>
      </w:r>
      <w:r w:rsidR="004F7942" w:rsidRPr="00E64EAA">
        <w:rPr>
          <w:sz w:val="24"/>
          <w:szCs w:val="24"/>
        </w:rPr>
        <w:t>f an outside organisation delivers an event at your school, Headteachers have a responsibility to check company safety procedures, and ensure they see and contribute to the risk assessment. Insurance details and method statements must also be checked where appropriate</w:t>
      </w:r>
      <w:r>
        <w:rPr>
          <w:sz w:val="24"/>
          <w:szCs w:val="24"/>
        </w:rPr>
        <w:t>.</w:t>
      </w:r>
    </w:p>
    <w:p w14:paraId="63185ED6" w14:textId="77777777" w:rsidR="004F7942" w:rsidRPr="00E64EAA" w:rsidRDefault="004F7942" w:rsidP="004F7942">
      <w:pPr>
        <w:spacing w:after="0" w:line="240" w:lineRule="auto"/>
        <w:ind w:left="360"/>
        <w:rPr>
          <w:sz w:val="24"/>
          <w:szCs w:val="24"/>
        </w:rPr>
      </w:pPr>
    </w:p>
    <w:p w14:paraId="38FB2690" w14:textId="7B36D560" w:rsidR="004F7942" w:rsidRPr="00E64EAA" w:rsidRDefault="00E64EAA" w:rsidP="004F7942">
      <w:pPr>
        <w:pStyle w:val="ListParagraph"/>
        <w:numPr>
          <w:ilvl w:val="0"/>
          <w:numId w:val="11"/>
        </w:numPr>
        <w:spacing w:after="0" w:line="240" w:lineRule="auto"/>
        <w:jc w:val="both"/>
        <w:rPr>
          <w:sz w:val="24"/>
          <w:szCs w:val="24"/>
        </w:rPr>
      </w:pPr>
      <w:r>
        <w:rPr>
          <w:sz w:val="24"/>
          <w:szCs w:val="24"/>
        </w:rPr>
        <w:t>U</w:t>
      </w:r>
      <w:r w:rsidR="004F7942" w:rsidRPr="00E64EAA">
        <w:rPr>
          <w:sz w:val="24"/>
          <w:szCs w:val="24"/>
        </w:rPr>
        <w:t xml:space="preserve">se KCC’s Management of Contractors policy for checklists to use when considering company safety this is available to download on KELSI.  </w:t>
      </w:r>
    </w:p>
    <w:p w14:paraId="16032E98" w14:textId="77777777" w:rsidR="004F7942" w:rsidRPr="00E64EAA" w:rsidRDefault="004F7942" w:rsidP="004F7942">
      <w:pPr>
        <w:pStyle w:val="ListParagraph"/>
        <w:spacing w:after="0" w:line="240" w:lineRule="auto"/>
        <w:ind w:left="360"/>
        <w:jc w:val="both"/>
        <w:rPr>
          <w:sz w:val="24"/>
          <w:szCs w:val="24"/>
        </w:rPr>
      </w:pPr>
      <w:r w:rsidRPr="00E64EAA">
        <w:rPr>
          <w:sz w:val="24"/>
          <w:szCs w:val="24"/>
        </w:rPr>
        <w:t xml:space="preserve"> </w:t>
      </w:r>
    </w:p>
    <w:p w14:paraId="131F2D40" w14:textId="25D2A9BE" w:rsidR="004F7942" w:rsidRPr="00E64EAA" w:rsidRDefault="00E64EAA" w:rsidP="004F7942">
      <w:pPr>
        <w:pStyle w:val="ListParagraph"/>
        <w:numPr>
          <w:ilvl w:val="0"/>
          <w:numId w:val="11"/>
        </w:numPr>
        <w:spacing w:after="0" w:line="240" w:lineRule="auto"/>
        <w:jc w:val="both"/>
        <w:rPr>
          <w:sz w:val="24"/>
          <w:szCs w:val="24"/>
        </w:rPr>
      </w:pPr>
      <w:r>
        <w:rPr>
          <w:sz w:val="24"/>
          <w:szCs w:val="24"/>
        </w:rPr>
        <w:t>O</w:t>
      </w:r>
      <w:r w:rsidR="004F7942" w:rsidRPr="00E64EAA">
        <w:rPr>
          <w:sz w:val="24"/>
          <w:szCs w:val="24"/>
        </w:rPr>
        <w:t>btain copies of documentation and set up an events folder where all information is kept regarding health and safety arrangements for the event.</w:t>
      </w:r>
    </w:p>
    <w:p w14:paraId="2E17B449" w14:textId="77777777" w:rsidR="004F7942" w:rsidRPr="00E64EAA" w:rsidRDefault="004F7942" w:rsidP="004F7942">
      <w:pPr>
        <w:pStyle w:val="ListParagraph"/>
        <w:rPr>
          <w:sz w:val="24"/>
          <w:szCs w:val="24"/>
        </w:rPr>
      </w:pPr>
    </w:p>
    <w:p w14:paraId="5E6C2BA9" w14:textId="7EAD532D" w:rsidR="004F7942" w:rsidRPr="00E64EAA" w:rsidRDefault="00E64EAA" w:rsidP="004F7942">
      <w:pPr>
        <w:pStyle w:val="ListParagraph"/>
        <w:numPr>
          <w:ilvl w:val="0"/>
          <w:numId w:val="11"/>
        </w:numPr>
        <w:spacing w:after="0" w:line="240" w:lineRule="auto"/>
        <w:rPr>
          <w:sz w:val="24"/>
          <w:szCs w:val="24"/>
        </w:rPr>
      </w:pPr>
      <w:r>
        <w:rPr>
          <w:sz w:val="24"/>
          <w:szCs w:val="24"/>
        </w:rPr>
        <w:t>E</w:t>
      </w:r>
      <w:r w:rsidR="004F7942" w:rsidRPr="00E64EAA">
        <w:rPr>
          <w:sz w:val="24"/>
          <w:szCs w:val="24"/>
        </w:rPr>
        <w:t>nsure that the school and the company are clear about what you are each responsible. A clear risk assessment must also be in place which covers items including but not limited to</w:t>
      </w:r>
      <w:r>
        <w:rPr>
          <w:sz w:val="24"/>
          <w:szCs w:val="24"/>
        </w:rPr>
        <w:t>:</w:t>
      </w:r>
      <w:r w:rsidR="004F7942" w:rsidRPr="00E64EAA">
        <w:rPr>
          <w:sz w:val="24"/>
          <w:szCs w:val="24"/>
        </w:rPr>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9440"/>
      </w:tblGrid>
      <w:tr w:rsidR="004F7942" w:rsidRPr="00E64EAA" w14:paraId="419ABC2C" w14:textId="77777777" w:rsidTr="00DB54F6">
        <w:tc>
          <w:tcPr>
            <w:tcW w:w="522" w:type="dxa"/>
          </w:tcPr>
          <w:p w14:paraId="76D3D5BF" w14:textId="77777777" w:rsidR="004F7942" w:rsidRPr="00E64EAA" w:rsidRDefault="004F7942" w:rsidP="00E64EAA">
            <w:pPr>
              <w:pStyle w:val="ListParagraph"/>
              <w:spacing w:after="0" w:line="240" w:lineRule="auto"/>
              <w:ind w:left="360"/>
              <w:rPr>
                <w:sz w:val="24"/>
                <w:szCs w:val="24"/>
              </w:rPr>
            </w:pPr>
          </w:p>
        </w:tc>
        <w:tc>
          <w:tcPr>
            <w:tcW w:w="9440" w:type="dxa"/>
          </w:tcPr>
          <w:p w14:paraId="37BBFB0C" w14:textId="77777777" w:rsidR="004F7942" w:rsidRPr="00E64EAA" w:rsidRDefault="004F7942" w:rsidP="00DB54F6">
            <w:pPr>
              <w:pStyle w:val="ListParagraph"/>
              <w:numPr>
                <w:ilvl w:val="0"/>
                <w:numId w:val="13"/>
              </w:numPr>
              <w:spacing w:after="0" w:line="240" w:lineRule="auto"/>
              <w:rPr>
                <w:sz w:val="24"/>
                <w:szCs w:val="24"/>
              </w:rPr>
            </w:pPr>
            <w:r w:rsidRPr="00E64EAA">
              <w:rPr>
                <w:sz w:val="24"/>
                <w:szCs w:val="24"/>
              </w:rPr>
              <w:t xml:space="preserve">who will provide supervision? </w:t>
            </w:r>
          </w:p>
        </w:tc>
      </w:tr>
      <w:tr w:rsidR="004F7942" w:rsidRPr="00E64EAA" w14:paraId="643B99DF" w14:textId="77777777" w:rsidTr="00DB54F6">
        <w:tc>
          <w:tcPr>
            <w:tcW w:w="522" w:type="dxa"/>
          </w:tcPr>
          <w:p w14:paraId="6831C264" w14:textId="77777777" w:rsidR="004F7942" w:rsidRPr="00E64EAA" w:rsidRDefault="004F7942" w:rsidP="00E64EAA">
            <w:pPr>
              <w:pStyle w:val="ListParagraph"/>
              <w:spacing w:after="0" w:line="240" w:lineRule="auto"/>
              <w:ind w:left="360"/>
              <w:rPr>
                <w:sz w:val="24"/>
                <w:szCs w:val="24"/>
              </w:rPr>
            </w:pPr>
          </w:p>
        </w:tc>
        <w:tc>
          <w:tcPr>
            <w:tcW w:w="9440" w:type="dxa"/>
          </w:tcPr>
          <w:p w14:paraId="57FB716F" w14:textId="77777777" w:rsidR="004F7942" w:rsidRPr="00E64EAA" w:rsidRDefault="004F7942" w:rsidP="00DB54F6">
            <w:pPr>
              <w:pStyle w:val="ListParagraph"/>
              <w:numPr>
                <w:ilvl w:val="0"/>
                <w:numId w:val="13"/>
              </w:numPr>
              <w:spacing w:after="0" w:line="240" w:lineRule="auto"/>
              <w:rPr>
                <w:sz w:val="24"/>
                <w:szCs w:val="24"/>
              </w:rPr>
            </w:pPr>
            <w:r w:rsidRPr="00E64EAA">
              <w:rPr>
                <w:sz w:val="24"/>
                <w:szCs w:val="24"/>
              </w:rPr>
              <w:t xml:space="preserve">first aid arrangements? </w:t>
            </w:r>
          </w:p>
        </w:tc>
      </w:tr>
      <w:tr w:rsidR="004F7942" w:rsidRPr="00E64EAA" w14:paraId="339796A3" w14:textId="77777777" w:rsidTr="00DB54F6">
        <w:tc>
          <w:tcPr>
            <w:tcW w:w="522" w:type="dxa"/>
          </w:tcPr>
          <w:p w14:paraId="5D8AE517" w14:textId="77777777" w:rsidR="004F7942" w:rsidRPr="00E64EAA" w:rsidRDefault="004F7942" w:rsidP="00E64EAA">
            <w:pPr>
              <w:pStyle w:val="ListParagraph"/>
              <w:spacing w:after="0" w:line="240" w:lineRule="auto"/>
              <w:ind w:left="360"/>
              <w:rPr>
                <w:sz w:val="24"/>
                <w:szCs w:val="24"/>
              </w:rPr>
            </w:pPr>
          </w:p>
        </w:tc>
        <w:tc>
          <w:tcPr>
            <w:tcW w:w="9440" w:type="dxa"/>
          </w:tcPr>
          <w:p w14:paraId="34837E78" w14:textId="77777777" w:rsidR="004F7942" w:rsidRPr="00E64EAA" w:rsidRDefault="004F7942" w:rsidP="00DB54F6">
            <w:pPr>
              <w:pStyle w:val="ListParagraph"/>
              <w:numPr>
                <w:ilvl w:val="0"/>
                <w:numId w:val="13"/>
              </w:numPr>
              <w:spacing w:after="0" w:line="240" w:lineRule="auto"/>
              <w:rPr>
                <w:sz w:val="24"/>
                <w:szCs w:val="24"/>
              </w:rPr>
            </w:pPr>
            <w:r w:rsidRPr="00E64EAA">
              <w:rPr>
                <w:sz w:val="24"/>
                <w:szCs w:val="24"/>
              </w:rPr>
              <w:t xml:space="preserve">making visitors aware of evacuation procedures? </w:t>
            </w:r>
          </w:p>
        </w:tc>
      </w:tr>
      <w:tr w:rsidR="004F7942" w:rsidRPr="00E64EAA" w14:paraId="23CE05B5" w14:textId="77777777" w:rsidTr="00DB54F6">
        <w:tc>
          <w:tcPr>
            <w:tcW w:w="522" w:type="dxa"/>
          </w:tcPr>
          <w:p w14:paraId="597ACB46" w14:textId="77777777" w:rsidR="004F7942" w:rsidRPr="00E64EAA" w:rsidRDefault="004F7942" w:rsidP="00E64EAA">
            <w:pPr>
              <w:pStyle w:val="ListParagraph"/>
              <w:spacing w:after="0" w:line="240" w:lineRule="auto"/>
              <w:ind w:left="360"/>
              <w:rPr>
                <w:sz w:val="24"/>
                <w:szCs w:val="24"/>
              </w:rPr>
            </w:pPr>
          </w:p>
        </w:tc>
        <w:tc>
          <w:tcPr>
            <w:tcW w:w="9440" w:type="dxa"/>
          </w:tcPr>
          <w:p w14:paraId="56D51106" w14:textId="77777777" w:rsidR="004F7942" w:rsidRPr="00E64EAA" w:rsidRDefault="004F7942" w:rsidP="00DB54F6">
            <w:pPr>
              <w:pStyle w:val="ListParagraph"/>
              <w:numPr>
                <w:ilvl w:val="0"/>
                <w:numId w:val="13"/>
              </w:numPr>
              <w:spacing w:after="0" w:line="240" w:lineRule="auto"/>
              <w:rPr>
                <w:sz w:val="24"/>
                <w:szCs w:val="24"/>
              </w:rPr>
            </w:pPr>
            <w:r w:rsidRPr="00E64EAA">
              <w:rPr>
                <w:sz w:val="24"/>
                <w:szCs w:val="24"/>
              </w:rPr>
              <w:t xml:space="preserve">the movement of vehicles on the premises? </w:t>
            </w:r>
          </w:p>
          <w:p w14:paraId="46FAEFCA" w14:textId="77777777" w:rsidR="004F7942" w:rsidRPr="00E64EAA" w:rsidRDefault="004F7942" w:rsidP="00DB54F6">
            <w:pPr>
              <w:spacing w:after="0" w:line="240" w:lineRule="auto"/>
              <w:rPr>
                <w:sz w:val="24"/>
                <w:szCs w:val="24"/>
              </w:rPr>
            </w:pPr>
          </w:p>
        </w:tc>
      </w:tr>
    </w:tbl>
    <w:p w14:paraId="53665C33" w14:textId="592FED4E" w:rsidR="004F7942" w:rsidRPr="00E64EAA" w:rsidRDefault="004F7942" w:rsidP="004F7942">
      <w:pPr>
        <w:pStyle w:val="ListParagraph"/>
        <w:spacing w:after="0" w:line="240" w:lineRule="auto"/>
        <w:ind w:left="360"/>
        <w:rPr>
          <w:sz w:val="24"/>
          <w:szCs w:val="24"/>
        </w:rPr>
      </w:pPr>
    </w:p>
    <w:p w14:paraId="18EBF36F" w14:textId="38B6E5C8" w:rsidR="004F7942" w:rsidRPr="00E64EAA" w:rsidRDefault="00E64EAA" w:rsidP="004F7942">
      <w:pPr>
        <w:pStyle w:val="ListParagraph"/>
        <w:numPr>
          <w:ilvl w:val="0"/>
          <w:numId w:val="12"/>
        </w:numPr>
        <w:spacing w:after="0" w:line="240" w:lineRule="auto"/>
        <w:jc w:val="both"/>
        <w:rPr>
          <w:sz w:val="24"/>
          <w:szCs w:val="24"/>
        </w:rPr>
      </w:pPr>
      <w:r>
        <w:rPr>
          <w:sz w:val="24"/>
          <w:szCs w:val="24"/>
        </w:rPr>
        <w:t>I</w:t>
      </w:r>
      <w:r w:rsidR="004F7942" w:rsidRPr="00E64EAA">
        <w:rPr>
          <w:sz w:val="24"/>
          <w:szCs w:val="24"/>
        </w:rPr>
        <w:t>f parents are expected to supervise their children at the event, be very clear about this in the information that goes to the parent</w:t>
      </w:r>
    </w:p>
    <w:p w14:paraId="2EE6BA2C" w14:textId="77777777" w:rsidR="004F7942" w:rsidRPr="00E64EAA" w:rsidRDefault="004F7942" w:rsidP="004F7942">
      <w:pPr>
        <w:spacing w:after="0" w:line="240" w:lineRule="auto"/>
        <w:ind w:left="360"/>
        <w:jc w:val="both"/>
        <w:rPr>
          <w:sz w:val="24"/>
          <w:szCs w:val="24"/>
        </w:rPr>
      </w:pPr>
    </w:p>
    <w:p w14:paraId="64810372" w14:textId="21CF3339" w:rsidR="004F7942" w:rsidRPr="00E64EAA" w:rsidRDefault="00E64EAA" w:rsidP="004F7942">
      <w:pPr>
        <w:numPr>
          <w:ilvl w:val="0"/>
          <w:numId w:val="10"/>
        </w:numPr>
        <w:spacing w:after="0" w:line="240" w:lineRule="auto"/>
        <w:jc w:val="both"/>
        <w:rPr>
          <w:sz w:val="24"/>
          <w:szCs w:val="24"/>
        </w:rPr>
      </w:pPr>
      <w:r>
        <w:rPr>
          <w:sz w:val="24"/>
          <w:szCs w:val="24"/>
        </w:rPr>
        <w:t>R</w:t>
      </w:r>
      <w:r w:rsidR="004F7942" w:rsidRPr="00E64EAA">
        <w:rPr>
          <w:sz w:val="24"/>
          <w:szCs w:val="24"/>
        </w:rPr>
        <w:t>emember that when a pupil or other non-employee has an accident which has arisen out of a school event and is taken to hospital directly from the scene for treatment, it must be reported to the Health and Safety Executive, just as it would be if it arose out of other school activities and also reported on the HS157 accident report form.</w:t>
      </w:r>
    </w:p>
    <w:p w14:paraId="446E27F9" w14:textId="77777777" w:rsidR="004F7942" w:rsidRPr="00E64EAA" w:rsidRDefault="004F7942" w:rsidP="004F7942">
      <w:pPr>
        <w:spacing w:after="0" w:line="240" w:lineRule="auto"/>
        <w:ind w:left="360"/>
        <w:jc w:val="both"/>
        <w:rPr>
          <w:sz w:val="24"/>
          <w:szCs w:val="24"/>
        </w:rPr>
      </w:pPr>
      <w:r w:rsidRPr="00E64EAA">
        <w:rPr>
          <w:sz w:val="24"/>
          <w:szCs w:val="24"/>
        </w:rPr>
        <w:t xml:space="preserve"> </w:t>
      </w:r>
    </w:p>
    <w:p w14:paraId="25E53A1A" w14:textId="584FA0CA" w:rsidR="004F7942" w:rsidRPr="00BF6161" w:rsidRDefault="004F7942" w:rsidP="00E64EAA">
      <w:pPr>
        <w:jc w:val="both"/>
      </w:pPr>
      <w:r w:rsidRPr="00E64EAA">
        <w:rPr>
          <w:sz w:val="24"/>
          <w:szCs w:val="24"/>
        </w:rPr>
        <w:t xml:space="preserve">If you have any other queries regarding event safety, please contact the Health and Safety Team on </w:t>
      </w:r>
      <w:r w:rsidRPr="00E64EAA">
        <w:rPr>
          <w:b/>
          <w:sz w:val="24"/>
          <w:szCs w:val="24"/>
        </w:rPr>
        <w:t xml:space="preserve">03000 418456 </w:t>
      </w:r>
      <w:r w:rsidRPr="00E64EAA">
        <w:rPr>
          <w:sz w:val="24"/>
          <w:szCs w:val="24"/>
        </w:rPr>
        <w:t>or email us at healthandsafety@kent.gov.uk.</w:t>
      </w:r>
    </w:p>
    <w:p w14:paraId="5C75D083" w14:textId="77777777" w:rsidR="00AA1BAB" w:rsidRDefault="00AA1BAB" w:rsidP="00B162A6"/>
    <w:p w14:paraId="2ECD153F" w14:textId="77777777" w:rsidR="00AA1BAB" w:rsidRDefault="00AA1BAB" w:rsidP="00B162A6"/>
    <w:sectPr w:rsidR="00AA1BAB" w:rsidSect="00AA1BAB">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4D28B" w14:textId="77777777" w:rsidR="00710D57" w:rsidRDefault="00710D57" w:rsidP="00AA1BAB">
      <w:pPr>
        <w:spacing w:after="0" w:line="240" w:lineRule="auto"/>
      </w:pPr>
      <w:r>
        <w:separator/>
      </w:r>
    </w:p>
  </w:endnote>
  <w:endnote w:type="continuationSeparator" w:id="0">
    <w:p w14:paraId="66892E73" w14:textId="77777777" w:rsidR="00710D57" w:rsidRDefault="00710D57"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FF63" w14:textId="77777777" w:rsidR="00E64EAA" w:rsidRPr="00E64EAA" w:rsidRDefault="00E64EAA" w:rsidP="00E64EAA">
    <w:pPr>
      <w:pStyle w:val="Footer"/>
      <w:ind w:right="360"/>
      <w:rPr>
        <w:sz w:val="18"/>
        <w:szCs w:val="18"/>
      </w:rPr>
    </w:pPr>
    <w:r w:rsidRPr="00E64EAA">
      <w:rPr>
        <w:sz w:val="18"/>
        <w:szCs w:val="18"/>
      </w:rPr>
      <w:t>H&amp;S/JJ/July 2021/Next Review July 2023</w:t>
    </w:r>
  </w:p>
  <w:p w14:paraId="5D2170B5" w14:textId="77777777" w:rsidR="00AA1BAB" w:rsidRDefault="00AA1BAB">
    <w:pPr>
      <w:pStyle w:val="Footer"/>
    </w:pPr>
  </w:p>
  <w:p w14:paraId="66EDA9E4" w14:textId="7CAFB5BB" w:rsidR="00AA1BAB" w:rsidRDefault="00734C6F">
    <w:pPr>
      <w:pStyle w:val="Footer"/>
    </w:pPr>
    <w:r>
      <w:rPr>
        <w:noProof/>
      </w:rPr>
      <w:drawing>
        <wp:anchor distT="0" distB="0" distL="114300" distR="114300" simplePos="0" relativeHeight="251658240" behindDoc="0" locked="0" layoutInCell="1" allowOverlap="1" wp14:anchorId="2ED6A26D" wp14:editId="15C569C6">
          <wp:simplePos x="0" y="0"/>
          <wp:positionH relativeFrom="page">
            <wp:posOffset>8890</wp:posOffset>
          </wp:positionH>
          <wp:positionV relativeFrom="page">
            <wp:posOffset>10130790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978C4" w14:textId="77777777" w:rsidR="00710D57" w:rsidRDefault="00710D57" w:rsidP="00AA1BAB">
      <w:pPr>
        <w:spacing w:after="0" w:line="240" w:lineRule="auto"/>
      </w:pPr>
      <w:r>
        <w:separator/>
      </w:r>
    </w:p>
  </w:footnote>
  <w:footnote w:type="continuationSeparator" w:id="0">
    <w:p w14:paraId="3E572FE7" w14:textId="77777777" w:rsidR="00710D57" w:rsidRDefault="00710D57"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4CB46" w14:textId="179DDDA2" w:rsidR="00AF26C3" w:rsidRPr="00AF26C3" w:rsidRDefault="00313D28" w:rsidP="00AF26C3">
    <w:pPr>
      <w:rPr>
        <w:rFonts w:cs="Arial"/>
        <w:b/>
        <w:color w:val="000000" w:themeColor="text1"/>
        <w:sz w:val="44"/>
        <w:szCs w:val="44"/>
      </w:rPr>
    </w:pPr>
    <w:r w:rsidRPr="00AF26C3">
      <w:rPr>
        <w:noProof/>
        <w:color w:val="000000" w:themeColor="text1"/>
        <w:sz w:val="20"/>
        <w:szCs w:val="20"/>
      </w:rPr>
      <w:drawing>
        <wp:anchor distT="0" distB="0" distL="114300" distR="114300" simplePos="0" relativeHeight="251657216" behindDoc="1" locked="0" layoutInCell="1" allowOverlap="1" wp14:anchorId="211B4945" wp14:editId="3CB8BA07">
          <wp:simplePos x="0" y="0"/>
          <wp:positionH relativeFrom="page">
            <wp:posOffset>8890</wp:posOffset>
          </wp:positionH>
          <wp:positionV relativeFrom="page">
            <wp:posOffset>21590</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F26C3" w:rsidRPr="00AF26C3">
      <w:rPr>
        <w:rFonts w:cs="Arial"/>
        <w:b/>
        <w:color w:val="000000" w:themeColor="text1"/>
        <w:sz w:val="44"/>
        <w:szCs w:val="44"/>
      </w:rPr>
      <w:t>Event Safety</w:t>
    </w:r>
  </w:p>
  <w:p w14:paraId="0C8739B7" w14:textId="573A99E2" w:rsidR="00AF26C3" w:rsidRPr="00AF26C3" w:rsidRDefault="00AF26C3" w:rsidP="00AF26C3">
    <w:pPr>
      <w:spacing w:after="0" w:line="240" w:lineRule="auto"/>
      <w:rPr>
        <w:rFonts w:eastAsia="Times New Roman"/>
        <w:b/>
        <w:color w:val="000000" w:themeColor="text1"/>
        <w:szCs w:val="18"/>
        <w:lang w:eastAsia="en-GB"/>
      </w:rPr>
    </w:pPr>
  </w:p>
  <w:p w14:paraId="7F47F68C" w14:textId="3ABDC991" w:rsidR="00831C65" w:rsidRPr="00AF26C3" w:rsidRDefault="00831C65" w:rsidP="00831C65">
    <w:pPr>
      <w:rPr>
        <w:rFonts w:cs="Arial"/>
        <w:b/>
        <w:color w:val="000000" w:themeColor="text1"/>
        <w:sz w:val="48"/>
        <w:szCs w:val="48"/>
      </w:rPr>
    </w:pPr>
  </w:p>
  <w:p w14:paraId="2EBCBB8A" w14:textId="7DBAFDCD" w:rsidR="00AA1BAB" w:rsidRDefault="00AA1BAB">
    <w:pPr>
      <w:pStyle w:val="Header"/>
    </w:pP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226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05802"/>
    <w:multiLevelType w:val="hybridMultilevel"/>
    <w:tmpl w:val="1C82F0BC"/>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cs="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cs="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cs="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3" w15:restartNumberingAfterBreak="0">
    <w:nsid w:val="404133F6"/>
    <w:multiLevelType w:val="hybridMultilevel"/>
    <w:tmpl w:val="27207F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49A7E30"/>
    <w:multiLevelType w:val="hybridMultilevel"/>
    <w:tmpl w:val="6B64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046689"/>
    <w:multiLevelType w:val="hybridMultilevel"/>
    <w:tmpl w:val="CDF0084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E243BE"/>
    <w:multiLevelType w:val="singleLevel"/>
    <w:tmpl w:val="08090003"/>
    <w:lvl w:ilvl="0">
      <w:start w:val="1"/>
      <w:numFmt w:val="bullet"/>
      <w:lvlText w:val="o"/>
      <w:lvlJc w:val="left"/>
      <w:pPr>
        <w:ind w:left="720" w:hanging="360"/>
      </w:pPr>
      <w:rPr>
        <w:rFonts w:ascii="Courier New" w:hAnsi="Courier New" w:cs="Courier New" w:hint="default"/>
      </w:rPr>
    </w:lvl>
  </w:abstractNum>
  <w:abstractNum w:abstractNumId="7" w15:restartNumberingAfterBreak="0">
    <w:nsid w:val="68B708C6"/>
    <w:multiLevelType w:val="hybridMultilevel"/>
    <w:tmpl w:val="A830B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D916C5"/>
    <w:multiLevelType w:val="hybridMultilevel"/>
    <w:tmpl w:val="EFAAD84A"/>
    <w:lvl w:ilvl="0" w:tplc="08090001">
      <w:start w:val="1"/>
      <w:numFmt w:val="bullet"/>
      <w:lvlText w:val=""/>
      <w:lvlJc w:val="left"/>
      <w:pPr>
        <w:tabs>
          <w:tab w:val="num" w:pos="702"/>
        </w:tabs>
        <w:ind w:left="702" w:hanging="360"/>
      </w:pPr>
      <w:rPr>
        <w:rFonts w:ascii="Symbol" w:hAnsi="Symbol" w:hint="default"/>
      </w:rPr>
    </w:lvl>
    <w:lvl w:ilvl="1" w:tplc="08090003" w:tentative="1">
      <w:start w:val="1"/>
      <w:numFmt w:val="bullet"/>
      <w:lvlText w:val="o"/>
      <w:lvlJc w:val="left"/>
      <w:pPr>
        <w:tabs>
          <w:tab w:val="num" w:pos="1422"/>
        </w:tabs>
        <w:ind w:left="1422" w:hanging="360"/>
      </w:pPr>
      <w:rPr>
        <w:rFonts w:ascii="Courier New" w:hAnsi="Courier New" w:cs="Courier New" w:hint="default"/>
      </w:rPr>
    </w:lvl>
    <w:lvl w:ilvl="2" w:tplc="08090005" w:tentative="1">
      <w:start w:val="1"/>
      <w:numFmt w:val="bullet"/>
      <w:lvlText w:val=""/>
      <w:lvlJc w:val="left"/>
      <w:pPr>
        <w:tabs>
          <w:tab w:val="num" w:pos="2142"/>
        </w:tabs>
        <w:ind w:left="2142" w:hanging="360"/>
      </w:pPr>
      <w:rPr>
        <w:rFonts w:ascii="Wingdings" w:hAnsi="Wingdings" w:hint="default"/>
      </w:rPr>
    </w:lvl>
    <w:lvl w:ilvl="3" w:tplc="08090001" w:tentative="1">
      <w:start w:val="1"/>
      <w:numFmt w:val="bullet"/>
      <w:lvlText w:val=""/>
      <w:lvlJc w:val="left"/>
      <w:pPr>
        <w:tabs>
          <w:tab w:val="num" w:pos="2862"/>
        </w:tabs>
        <w:ind w:left="2862" w:hanging="360"/>
      </w:pPr>
      <w:rPr>
        <w:rFonts w:ascii="Symbol" w:hAnsi="Symbol" w:hint="default"/>
      </w:rPr>
    </w:lvl>
    <w:lvl w:ilvl="4" w:tplc="08090003" w:tentative="1">
      <w:start w:val="1"/>
      <w:numFmt w:val="bullet"/>
      <w:lvlText w:val="o"/>
      <w:lvlJc w:val="left"/>
      <w:pPr>
        <w:tabs>
          <w:tab w:val="num" w:pos="3582"/>
        </w:tabs>
        <w:ind w:left="3582" w:hanging="360"/>
      </w:pPr>
      <w:rPr>
        <w:rFonts w:ascii="Courier New" w:hAnsi="Courier New" w:cs="Courier New" w:hint="default"/>
      </w:rPr>
    </w:lvl>
    <w:lvl w:ilvl="5" w:tplc="08090005" w:tentative="1">
      <w:start w:val="1"/>
      <w:numFmt w:val="bullet"/>
      <w:lvlText w:val=""/>
      <w:lvlJc w:val="left"/>
      <w:pPr>
        <w:tabs>
          <w:tab w:val="num" w:pos="4302"/>
        </w:tabs>
        <w:ind w:left="4302" w:hanging="360"/>
      </w:pPr>
      <w:rPr>
        <w:rFonts w:ascii="Wingdings" w:hAnsi="Wingdings" w:hint="default"/>
      </w:rPr>
    </w:lvl>
    <w:lvl w:ilvl="6" w:tplc="08090001" w:tentative="1">
      <w:start w:val="1"/>
      <w:numFmt w:val="bullet"/>
      <w:lvlText w:val=""/>
      <w:lvlJc w:val="left"/>
      <w:pPr>
        <w:tabs>
          <w:tab w:val="num" w:pos="5022"/>
        </w:tabs>
        <w:ind w:left="5022" w:hanging="360"/>
      </w:pPr>
      <w:rPr>
        <w:rFonts w:ascii="Symbol" w:hAnsi="Symbol" w:hint="default"/>
      </w:rPr>
    </w:lvl>
    <w:lvl w:ilvl="7" w:tplc="08090003" w:tentative="1">
      <w:start w:val="1"/>
      <w:numFmt w:val="bullet"/>
      <w:lvlText w:val="o"/>
      <w:lvlJc w:val="left"/>
      <w:pPr>
        <w:tabs>
          <w:tab w:val="num" w:pos="5742"/>
        </w:tabs>
        <w:ind w:left="5742" w:hanging="360"/>
      </w:pPr>
      <w:rPr>
        <w:rFonts w:ascii="Courier New" w:hAnsi="Courier New" w:cs="Courier New" w:hint="default"/>
      </w:rPr>
    </w:lvl>
    <w:lvl w:ilvl="8" w:tplc="08090005" w:tentative="1">
      <w:start w:val="1"/>
      <w:numFmt w:val="bullet"/>
      <w:lvlText w:val=""/>
      <w:lvlJc w:val="left"/>
      <w:pPr>
        <w:tabs>
          <w:tab w:val="num" w:pos="6462"/>
        </w:tabs>
        <w:ind w:left="6462" w:hanging="360"/>
      </w:pPr>
      <w:rPr>
        <w:rFonts w:ascii="Wingdings" w:hAnsi="Wingdings" w:hint="default"/>
      </w:rPr>
    </w:lvl>
  </w:abstractNum>
  <w:abstractNum w:abstractNumId="10" w15:restartNumberingAfterBreak="0">
    <w:nsid w:val="722D6CDF"/>
    <w:multiLevelType w:val="hybridMultilevel"/>
    <w:tmpl w:val="00703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38737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2"/>
  </w:num>
  <w:num w:numId="4">
    <w:abstractNumId w:val="9"/>
  </w:num>
  <w:num w:numId="5">
    <w:abstractNumId w:val="2"/>
  </w:num>
  <w:num w:numId="6">
    <w:abstractNumId w:val="10"/>
  </w:num>
  <w:num w:numId="7">
    <w:abstractNumId w:val="5"/>
  </w:num>
  <w:num w:numId="8">
    <w:abstractNumId w:val="0"/>
  </w:num>
  <w:num w:numId="9">
    <w:abstractNumId w:val="6"/>
  </w:num>
  <w:num w:numId="10">
    <w:abstractNumId w:val="11"/>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2417E4"/>
    <w:rsid w:val="00313D28"/>
    <w:rsid w:val="004A0259"/>
    <w:rsid w:val="004F7942"/>
    <w:rsid w:val="0051517D"/>
    <w:rsid w:val="00554D69"/>
    <w:rsid w:val="0055796B"/>
    <w:rsid w:val="005F1B5A"/>
    <w:rsid w:val="00710D57"/>
    <w:rsid w:val="00734C6F"/>
    <w:rsid w:val="00831C65"/>
    <w:rsid w:val="008F673C"/>
    <w:rsid w:val="00A531DE"/>
    <w:rsid w:val="00AA1BAB"/>
    <w:rsid w:val="00AF26C3"/>
    <w:rsid w:val="00B162A6"/>
    <w:rsid w:val="00B4058A"/>
    <w:rsid w:val="00B53BC4"/>
    <w:rsid w:val="00B9503E"/>
    <w:rsid w:val="00D4288E"/>
    <w:rsid w:val="00D672D2"/>
    <w:rsid w:val="00E11C07"/>
    <w:rsid w:val="00E64EAA"/>
    <w:rsid w:val="00E705F5"/>
    <w:rsid w:val="00F22692"/>
    <w:rsid w:val="00FB4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customStyle="1" w:styleId="TableGridLight1">
    <w:name w:val="Table Grid Light1"/>
    <w:basedOn w:val="TableNormal"/>
    <w:next w:val="TableGridLight"/>
    <w:uiPriority w:val="40"/>
    <w:rsid w:val="00D4288E"/>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D428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4F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2</TotalTime>
  <Pages>1</Pages>
  <Words>293</Words>
  <Characters>1676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2</cp:revision>
  <dcterms:created xsi:type="dcterms:W3CDTF">2021-10-18T12:07:00Z</dcterms:created>
  <dcterms:modified xsi:type="dcterms:W3CDTF">2021-10-18T12:07:00Z</dcterms:modified>
</cp:coreProperties>
</file>