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FD" w:rsidRPr="00AD56FD" w:rsidRDefault="00AD56FD" w:rsidP="00AD56FD">
      <w:pPr>
        <w:pStyle w:val="Title"/>
        <w:rPr>
          <w:sz w:val="36"/>
          <w:szCs w:val="36"/>
        </w:rPr>
      </w:pPr>
      <w:bookmarkStart w:id="0" w:name="_GoBack"/>
      <w:bookmarkEnd w:id="0"/>
      <w:r>
        <w:rPr>
          <w:rFonts w:ascii="Calibri" w:eastAsia="Times New Roman" w:hAnsi="Calibri" w:cs="Arial"/>
          <w:noProof/>
          <w:sz w:val="24"/>
          <w:szCs w:val="24"/>
          <w:lang w:eastAsia="en-GB"/>
        </w:rPr>
        <w:drawing>
          <wp:anchor distT="0" distB="0" distL="114300" distR="114300" simplePos="0" relativeHeight="251658240" behindDoc="0" locked="0" layoutInCell="1" allowOverlap="1" wp14:anchorId="79202EDE" wp14:editId="62B2E113">
            <wp:simplePos x="0" y="0"/>
            <wp:positionH relativeFrom="column">
              <wp:posOffset>-88900</wp:posOffset>
            </wp:positionH>
            <wp:positionV relativeFrom="paragraph">
              <wp:posOffset>-35560</wp:posOffset>
            </wp:positionV>
            <wp:extent cx="1371600" cy="962025"/>
            <wp:effectExtent l="0" t="0" r="0" b="9525"/>
            <wp:wrapSquare wrapText="bothSides"/>
            <wp:docPr id="1" name="Picture 1" descr="Description: Description: KCC_Logo_New_2012_F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CC_Logo_New_2012_Fram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6FD">
        <w:rPr>
          <w:sz w:val="36"/>
          <w:szCs w:val="36"/>
        </w:rPr>
        <w:t>Kent Health Needs Education Service</w:t>
      </w:r>
    </w:p>
    <w:p w:rsidR="00AD56FD" w:rsidRDefault="00AD56FD" w:rsidP="00AD56FD">
      <w:pPr>
        <w:pStyle w:val="Title"/>
      </w:pPr>
    </w:p>
    <w:p w:rsidR="00AD56FD" w:rsidRDefault="00AD56FD" w:rsidP="00AD56FD">
      <w:pPr>
        <w:pStyle w:val="Title"/>
      </w:pPr>
    </w:p>
    <w:p w:rsidR="008D2134" w:rsidRDefault="00E12B58" w:rsidP="00AD56FD">
      <w:pPr>
        <w:pStyle w:val="Title"/>
        <w:jc w:val="center"/>
      </w:pPr>
      <w:r>
        <w:t>Admission</w:t>
      </w:r>
      <w:r w:rsidR="00AD56FD">
        <w:t>s Policy</w:t>
      </w:r>
    </w:p>
    <w:p w:rsidR="00AD56FD" w:rsidRDefault="00AD56FD" w:rsidP="00AD56FD">
      <w:pPr>
        <w:pStyle w:val="Heading1"/>
        <w:jc w:val="both"/>
      </w:pPr>
    </w:p>
    <w:p w:rsidR="008D2134" w:rsidRDefault="00E12B58" w:rsidP="00722C27">
      <w:pPr>
        <w:pStyle w:val="Heading1"/>
        <w:jc w:val="both"/>
      </w:pPr>
      <w:r>
        <w:t>Introduction</w:t>
      </w:r>
    </w:p>
    <w:p w:rsidR="008D2134" w:rsidRDefault="00E12B58" w:rsidP="00722C27">
      <w:pPr>
        <w:jc w:val="both"/>
        <w:rPr>
          <w:rFonts w:eastAsia="Calibri" w:cs="Calibri"/>
          <w:sz w:val="24"/>
        </w:rPr>
      </w:pPr>
      <w:r>
        <w:rPr>
          <w:sz w:val="24"/>
          <w:szCs w:val="24"/>
        </w:rPr>
        <w:t xml:space="preserve">Kent Local Authority aims to provide continuity of education for pupils who are unable to attend school due to health needs. </w:t>
      </w:r>
      <w:r>
        <w:rPr>
          <w:rFonts w:eastAsia="Calibri" w:cs="Calibri"/>
          <w:sz w:val="24"/>
        </w:rPr>
        <w:t>The</w:t>
      </w:r>
      <w:r w:rsidR="00F52489">
        <w:rPr>
          <w:rFonts w:eastAsia="Calibri" w:cs="Calibri"/>
          <w:sz w:val="24"/>
        </w:rPr>
        <w:t xml:space="preserve"> Kent Health Needs Education Service </w:t>
      </w:r>
      <w:r>
        <w:rPr>
          <w:rFonts w:eastAsia="Calibri" w:cs="Calibri"/>
          <w:sz w:val="24"/>
        </w:rPr>
        <w:t>provides:</w:t>
      </w:r>
    </w:p>
    <w:p w:rsidR="008D2134" w:rsidRDefault="00E12B58" w:rsidP="00722C27">
      <w:pPr>
        <w:numPr>
          <w:ilvl w:val="0"/>
          <w:numId w:val="4"/>
        </w:numPr>
        <w:spacing w:after="0" w:line="240" w:lineRule="auto"/>
        <w:ind w:left="720" w:hanging="360"/>
        <w:jc w:val="both"/>
        <w:rPr>
          <w:rFonts w:eastAsia="Calibri" w:cs="Calibri"/>
          <w:sz w:val="24"/>
        </w:rPr>
      </w:pPr>
      <w:r>
        <w:rPr>
          <w:rFonts w:eastAsia="Calibri" w:cs="Calibri"/>
          <w:sz w:val="24"/>
        </w:rPr>
        <w:t>an education support service to schools for young people with physical medical conditions; and,</w:t>
      </w:r>
    </w:p>
    <w:p w:rsidR="006D0BB0" w:rsidRDefault="00E12B58" w:rsidP="00722C27">
      <w:pPr>
        <w:numPr>
          <w:ilvl w:val="0"/>
          <w:numId w:val="4"/>
        </w:numPr>
        <w:spacing w:after="0" w:line="240" w:lineRule="auto"/>
        <w:ind w:left="720" w:hanging="360"/>
        <w:jc w:val="both"/>
        <w:rPr>
          <w:rFonts w:eastAsia="Calibri" w:cs="Calibri"/>
          <w:sz w:val="24"/>
        </w:rPr>
      </w:pPr>
      <w:r>
        <w:rPr>
          <w:rFonts w:eastAsia="Calibri" w:cs="Calibri"/>
          <w:sz w:val="24"/>
        </w:rPr>
        <w:t>an education outreach service for young people with mental health needs, located in six resourced bases and a specialist residential unit</w:t>
      </w:r>
    </w:p>
    <w:p w:rsidR="008D2134" w:rsidRPr="003F188B" w:rsidRDefault="008D2134" w:rsidP="00722C27">
      <w:pPr>
        <w:spacing w:after="0" w:line="240" w:lineRule="auto"/>
        <w:ind w:left="720"/>
        <w:jc w:val="both"/>
        <w:rPr>
          <w:sz w:val="24"/>
          <w:szCs w:val="24"/>
        </w:rPr>
      </w:pPr>
    </w:p>
    <w:p w:rsidR="008D2134" w:rsidRDefault="00E12B58" w:rsidP="003F188B">
      <w:pPr>
        <w:jc w:val="both"/>
        <w:rPr>
          <w:sz w:val="24"/>
          <w:szCs w:val="24"/>
        </w:rPr>
      </w:pPr>
      <w:r>
        <w:rPr>
          <w:sz w:val="24"/>
          <w:szCs w:val="24"/>
        </w:rPr>
        <w:t xml:space="preserve">It aims to: </w:t>
      </w:r>
    </w:p>
    <w:p w:rsidR="008D2134" w:rsidRDefault="00E12B58">
      <w:pPr>
        <w:numPr>
          <w:ilvl w:val="0"/>
          <w:numId w:val="5"/>
        </w:numPr>
        <w:spacing w:after="0" w:line="240" w:lineRule="auto"/>
        <w:ind w:left="720" w:hanging="360"/>
        <w:jc w:val="both"/>
        <w:rPr>
          <w:rFonts w:eastAsia="Calibri" w:cs="Calibri"/>
          <w:sz w:val="24"/>
        </w:rPr>
      </w:pPr>
      <w:r>
        <w:rPr>
          <w:rFonts w:eastAsia="Calibri" w:cs="Calibri"/>
          <w:sz w:val="24"/>
        </w:rPr>
        <w:t>provide fair and equitable access to all schools</w:t>
      </w:r>
    </w:p>
    <w:p w:rsidR="008D2134" w:rsidRDefault="00E12B58">
      <w:pPr>
        <w:numPr>
          <w:ilvl w:val="0"/>
          <w:numId w:val="5"/>
        </w:numPr>
        <w:spacing w:after="0" w:line="240" w:lineRule="auto"/>
        <w:ind w:left="720" w:hanging="360"/>
        <w:jc w:val="both"/>
        <w:rPr>
          <w:rFonts w:eastAsia="Calibri" w:cs="Calibri"/>
          <w:sz w:val="24"/>
        </w:rPr>
      </w:pPr>
      <w:r>
        <w:rPr>
          <w:rFonts w:eastAsia="Calibri" w:cs="Calibri"/>
          <w:sz w:val="24"/>
        </w:rPr>
        <w:t>streamline the referral process to reduce the waiting time where young people are missing education</w:t>
      </w:r>
    </w:p>
    <w:p w:rsidR="008D2134" w:rsidRDefault="00E12B58" w:rsidP="00722C27">
      <w:pPr>
        <w:numPr>
          <w:ilvl w:val="0"/>
          <w:numId w:val="5"/>
        </w:numPr>
        <w:spacing w:after="0" w:line="240" w:lineRule="auto"/>
        <w:ind w:left="720" w:hanging="360"/>
        <w:jc w:val="both"/>
        <w:rPr>
          <w:rFonts w:eastAsia="Calibri" w:cs="Calibri"/>
          <w:sz w:val="24"/>
        </w:rPr>
      </w:pPr>
      <w:r>
        <w:rPr>
          <w:rFonts w:eastAsia="Calibri" w:cs="Calibri"/>
          <w:sz w:val="24"/>
        </w:rPr>
        <w:t>provide support and training for schools in how to support young people with medical and mental health issues</w:t>
      </w:r>
    </w:p>
    <w:p w:rsidR="008D2134" w:rsidRDefault="00E12B58" w:rsidP="00722C27">
      <w:pPr>
        <w:numPr>
          <w:ilvl w:val="0"/>
          <w:numId w:val="5"/>
        </w:numPr>
        <w:spacing w:after="0" w:line="240" w:lineRule="auto"/>
        <w:ind w:left="720" w:hanging="360"/>
        <w:jc w:val="both"/>
        <w:rPr>
          <w:rFonts w:eastAsia="Calibri" w:cs="Calibri"/>
          <w:sz w:val="24"/>
        </w:rPr>
      </w:pPr>
      <w:proofErr w:type="gramStart"/>
      <w:r>
        <w:rPr>
          <w:rFonts w:eastAsia="Calibri" w:cs="Calibri"/>
          <w:sz w:val="24"/>
        </w:rPr>
        <w:t>ensure</w:t>
      </w:r>
      <w:proofErr w:type="gramEnd"/>
      <w:r>
        <w:rPr>
          <w:rFonts w:eastAsia="Calibri" w:cs="Calibri"/>
          <w:sz w:val="24"/>
        </w:rPr>
        <w:t xml:space="preserve"> continuity of education for the young person, whether this is by being supported in the home school or by providing off site provision, </w:t>
      </w:r>
      <w:r w:rsidR="000C7685">
        <w:rPr>
          <w:rFonts w:eastAsia="Calibri" w:cs="Calibri"/>
          <w:sz w:val="24"/>
        </w:rPr>
        <w:t>1:1</w:t>
      </w:r>
      <w:r>
        <w:rPr>
          <w:rFonts w:eastAsia="Calibri" w:cs="Calibri"/>
          <w:sz w:val="24"/>
        </w:rPr>
        <w:t xml:space="preserve"> tuition or virtual learning experiences.</w:t>
      </w:r>
    </w:p>
    <w:p w:rsidR="00BE6085" w:rsidRDefault="00E12B58" w:rsidP="00722C27">
      <w:pPr>
        <w:pStyle w:val="Heading1"/>
        <w:jc w:val="both"/>
        <w:rPr>
          <w:rFonts w:asciiTheme="minorHAnsi" w:hAnsiTheme="minorHAnsi"/>
          <w:color w:val="000000" w:themeColor="text1"/>
          <w:sz w:val="24"/>
          <w:szCs w:val="24"/>
        </w:rPr>
      </w:pPr>
      <w:r w:rsidRPr="00722C27">
        <w:rPr>
          <w:rFonts w:asciiTheme="minorHAnsi" w:hAnsiTheme="minorHAnsi"/>
          <w:color w:val="000000" w:themeColor="text1"/>
          <w:sz w:val="24"/>
          <w:szCs w:val="24"/>
        </w:rPr>
        <w:t>It is recognised that pupils who continue in education during their illness and recuperation are likely to recover more quickly with the minimum possible adverse effect on their educational and life outcomes</w:t>
      </w:r>
      <w:r w:rsidR="00BE6085">
        <w:rPr>
          <w:rFonts w:asciiTheme="minorHAnsi" w:hAnsiTheme="minorHAnsi"/>
          <w:color w:val="000000" w:themeColor="text1"/>
          <w:sz w:val="24"/>
          <w:szCs w:val="24"/>
        </w:rPr>
        <w:t>.</w:t>
      </w:r>
    </w:p>
    <w:p w:rsidR="00AD56FD" w:rsidRPr="00722C27" w:rsidRDefault="00E12B58" w:rsidP="00AD56FD">
      <w:pPr>
        <w:pStyle w:val="Heading1"/>
        <w:rPr>
          <w:rFonts w:asciiTheme="minorHAnsi" w:hAnsiTheme="minorHAnsi"/>
          <w:color w:val="5B9BD5" w:themeColor="accent1"/>
        </w:rPr>
      </w:pPr>
      <w:r w:rsidRPr="00722C27">
        <w:rPr>
          <w:rFonts w:asciiTheme="minorHAnsi" w:hAnsiTheme="minorHAnsi"/>
          <w:color w:val="5B9BD5" w:themeColor="accent1"/>
        </w:rPr>
        <w:t>Before referral for admission to the service</w:t>
      </w:r>
    </w:p>
    <w:p w:rsidR="005D19CD" w:rsidRDefault="00E12B58">
      <w:pPr>
        <w:jc w:val="both"/>
        <w:rPr>
          <w:sz w:val="24"/>
          <w:szCs w:val="24"/>
        </w:rPr>
      </w:pPr>
      <w:r w:rsidRPr="00722C27">
        <w:rPr>
          <w:color w:val="000000" w:themeColor="text1"/>
          <w:sz w:val="24"/>
          <w:szCs w:val="24"/>
        </w:rPr>
        <w:t>Kent Health</w:t>
      </w:r>
      <w:r w:rsidR="000C7685">
        <w:rPr>
          <w:color w:val="000000" w:themeColor="text1"/>
          <w:sz w:val="24"/>
          <w:szCs w:val="24"/>
        </w:rPr>
        <w:t xml:space="preserve"> Needs</w:t>
      </w:r>
      <w:r w:rsidRPr="00722C27">
        <w:rPr>
          <w:color w:val="000000" w:themeColor="text1"/>
          <w:sz w:val="24"/>
          <w:szCs w:val="24"/>
        </w:rPr>
        <w:t xml:space="preserve"> Education Service recognises the diverse need of the community it serves and the ranging medical needs of children that live within the Local </w:t>
      </w:r>
      <w:r>
        <w:rPr>
          <w:sz w:val="24"/>
          <w:szCs w:val="24"/>
        </w:rPr>
        <w:t xml:space="preserve">Authority. We understand that pupils with health needs that prevent them attending their home school may be considered disabled in terms of the Disability Discrimination Act (examples of this may include those with epilepsy, diabetes, brain injury, or degenerative neuro muscular conditions). Within this understanding the </w:t>
      </w:r>
      <w:r w:rsidR="001B7EE4">
        <w:rPr>
          <w:sz w:val="24"/>
          <w:szCs w:val="24"/>
        </w:rPr>
        <w:t xml:space="preserve">home </w:t>
      </w:r>
      <w:r>
        <w:rPr>
          <w:sz w:val="24"/>
          <w:szCs w:val="24"/>
        </w:rPr>
        <w:t xml:space="preserve">school has statutory duties under the DDA to make reasonable adjustments for the inclusion of pupils within the Disability Equality Scheme.  </w:t>
      </w:r>
    </w:p>
    <w:p w:rsidR="008D2134" w:rsidRDefault="00E12B58" w:rsidP="003F188B">
      <w:pPr>
        <w:jc w:val="both"/>
        <w:rPr>
          <w:sz w:val="24"/>
          <w:szCs w:val="24"/>
        </w:rPr>
      </w:pPr>
      <w:r>
        <w:rPr>
          <w:sz w:val="24"/>
          <w:szCs w:val="24"/>
        </w:rPr>
        <w:t>Kent Health</w:t>
      </w:r>
      <w:r w:rsidR="00BA39F6">
        <w:rPr>
          <w:sz w:val="24"/>
          <w:szCs w:val="24"/>
        </w:rPr>
        <w:t xml:space="preserve"> Needs</w:t>
      </w:r>
      <w:r>
        <w:rPr>
          <w:sz w:val="24"/>
          <w:szCs w:val="24"/>
        </w:rPr>
        <w:t xml:space="preserve"> Education Service</w:t>
      </w:r>
      <w:r w:rsidR="00214122">
        <w:rPr>
          <w:sz w:val="24"/>
          <w:szCs w:val="24"/>
        </w:rPr>
        <w:t xml:space="preserve"> can</w:t>
      </w:r>
      <w:r>
        <w:rPr>
          <w:sz w:val="24"/>
          <w:szCs w:val="24"/>
        </w:rPr>
        <w:t xml:space="preserve"> provide the following:</w:t>
      </w:r>
    </w:p>
    <w:tbl>
      <w:tblPr>
        <w:tblW w:w="0" w:type="auto"/>
        <w:tblInd w:w="108" w:type="dxa"/>
        <w:tblCellMar>
          <w:left w:w="10" w:type="dxa"/>
          <w:right w:w="10" w:type="dxa"/>
        </w:tblCellMar>
        <w:tblLook w:val="0000" w:firstRow="0" w:lastRow="0" w:firstColumn="0" w:lastColumn="0" w:noHBand="0" w:noVBand="0"/>
      </w:tblPr>
      <w:tblGrid>
        <w:gridCol w:w="766"/>
        <w:gridCol w:w="8306"/>
      </w:tblGrid>
      <w:tr w:rsidR="008D2134">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Pr="005B182F" w:rsidRDefault="00E12B58" w:rsidP="00722C27">
            <w:pPr>
              <w:spacing w:after="0" w:line="240" w:lineRule="auto"/>
              <w:jc w:val="both"/>
              <w:rPr>
                <w:rFonts w:eastAsia="Calibri" w:cs="Calibri"/>
                <w:b/>
              </w:rPr>
            </w:pPr>
            <w:r w:rsidRPr="005B182F">
              <w:rPr>
                <w:rFonts w:eastAsia="Calibri" w:cs="Calibri"/>
                <w:b/>
              </w:rPr>
              <w:lastRenderedPageBreak/>
              <w:t>Stage</w:t>
            </w:r>
          </w:p>
        </w:tc>
        <w:tc>
          <w:tcPr>
            <w:tcW w:w="8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both"/>
              <w:rPr>
                <w:rFonts w:eastAsia="Calibri" w:cs="Calibri"/>
              </w:rPr>
            </w:pPr>
            <w:r>
              <w:rPr>
                <w:rFonts w:eastAsia="Calibri" w:cs="Calibri"/>
                <w:b/>
                <w:sz w:val="24"/>
              </w:rPr>
              <w:t>Offer</w:t>
            </w:r>
          </w:p>
        </w:tc>
      </w:tr>
      <w:tr w:rsidR="008D2134">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center"/>
              <w:rPr>
                <w:rFonts w:eastAsia="Calibri" w:cs="Calibri"/>
              </w:rPr>
            </w:pPr>
            <w:r>
              <w:rPr>
                <w:rFonts w:eastAsia="Calibri" w:cs="Calibri"/>
                <w:b/>
                <w:sz w:val="24"/>
              </w:rPr>
              <w:t>1</w:t>
            </w:r>
          </w:p>
        </w:tc>
        <w:tc>
          <w:tcPr>
            <w:tcW w:w="8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both"/>
              <w:rPr>
                <w:rFonts w:eastAsia="Calibri" w:cs="Calibri"/>
                <w:sz w:val="24"/>
              </w:rPr>
            </w:pPr>
            <w:r>
              <w:rPr>
                <w:rFonts w:eastAsia="Calibri" w:cs="Calibri"/>
                <w:sz w:val="24"/>
              </w:rPr>
              <w:t>Generic school support, training and advice on understanding and dealing with different diagnoses:</w:t>
            </w:r>
          </w:p>
          <w:p w:rsidR="008D2134" w:rsidRDefault="00E12B58" w:rsidP="00722C27">
            <w:pPr>
              <w:numPr>
                <w:ilvl w:val="0"/>
                <w:numId w:val="7"/>
              </w:numPr>
              <w:spacing w:after="0" w:line="240" w:lineRule="auto"/>
              <w:ind w:left="1440" w:hanging="360"/>
              <w:jc w:val="both"/>
              <w:rPr>
                <w:rFonts w:eastAsia="Calibri" w:cs="Calibri"/>
                <w:sz w:val="24"/>
              </w:rPr>
            </w:pPr>
            <w:r>
              <w:rPr>
                <w:rFonts w:eastAsia="Calibri" w:cs="Calibri"/>
                <w:sz w:val="24"/>
              </w:rPr>
              <w:t>planned training schedule available</w:t>
            </w:r>
          </w:p>
          <w:p w:rsidR="008D2134" w:rsidRDefault="00E12B58" w:rsidP="00722C27">
            <w:pPr>
              <w:numPr>
                <w:ilvl w:val="0"/>
                <w:numId w:val="7"/>
              </w:numPr>
              <w:spacing w:after="0" w:line="240" w:lineRule="auto"/>
              <w:ind w:left="1440" w:hanging="360"/>
              <w:jc w:val="both"/>
              <w:rPr>
                <w:rFonts w:eastAsia="Calibri" w:cs="Calibri"/>
                <w:sz w:val="24"/>
              </w:rPr>
            </w:pPr>
            <w:r>
              <w:rPr>
                <w:rFonts w:eastAsia="Calibri" w:cs="Calibri"/>
                <w:sz w:val="24"/>
              </w:rPr>
              <w:t>additional bespoke at a cost to the school</w:t>
            </w:r>
          </w:p>
          <w:p w:rsidR="008D2134" w:rsidRPr="008A2392" w:rsidRDefault="008D2134" w:rsidP="00722C27">
            <w:pPr>
              <w:spacing w:after="0" w:line="240" w:lineRule="auto"/>
              <w:ind w:left="1440"/>
              <w:jc w:val="both"/>
              <w:rPr>
                <w:rFonts w:eastAsia="Calibri" w:cs="Calibri"/>
              </w:rPr>
            </w:pPr>
          </w:p>
        </w:tc>
      </w:tr>
      <w:tr w:rsidR="008D2134">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center"/>
              <w:rPr>
                <w:rFonts w:eastAsia="Calibri" w:cs="Calibri"/>
              </w:rPr>
            </w:pPr>
            <w:r>
              <w:rPr>
                <w:rFonts w:eastAsia="Calibri" w:cs="Calibri"/>
                <w:b/>
                <w:sz w:val="24"/>
              </w:rPr>
              <w:t>2</w:t>
            </w:r>
          </w:p>
        </w:tc>
        <w:tc>
          <w:tcPr>
            <w:tcW w:w="8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both"/>
              <w:rPr>
                <w:rFonts w:eastAsia="Calibri" w:cs="Calibri"/>
                <w:sz w:val="24"/>
              </w:rPr>
            </w:pPr>
            <w:r>
              <w:rPr>
                <w:rFonts w:eastAsia="Calibri" w:cs="Calibri"/>
                <w:sz w:val="24"/>
              </w:rPr>
              <w:t>Advice and guidance on specific individual concerns:</w:t>
            </w:r>
          </w:p>
          <w:p w:rsidR="008D2134" w:rsidRDefault="00E12B58" w:rsidP="00722C27">
            <w:pPr>
              <w:numPr>
                <w:ilvl w:val="0"/>
                <w:numId w:val="8"/>
              </w:numPr>
              <w:spacing w:after="0" w:line="240" w:lineRule="auto"/>
              <w:ind w:left="1440" w:hanging="360"/>
              <w:jc w:val="both"/>
              <w:rPr>
                <w:rFonts w:eastAsia="Calibri" w:cs="Calibri"/>
                <w:sz w:val="24"/>
              </w:rPr>
            </w:pPr>
            <w:proofErr w:type="gramStart"/>
            <w:r>
              <w:rPr>
                <w:rFonts w:eastAsia="Calibri" w:cs="Calibri"/>
                <w:sz w:val="24"/>
              </w:rPr>
              <w:t>phone</w:t>
            </w:r>
            <w:proofErr w:type="gramEnd"/>
            <w:r>
              <w:rPr>
                <w:rFonts w:eastAsia="Calibri" w:cs="Calibri"/>
                <w:sz w:val="24"/>
              </w:rPr>
              <w:t xml:space="preserve"> consultations on individual cases.</w:t>
            </w:r>
          </w:p>
          <w:p w:rsidR="008D2134" w:rsidRDefault="00E12B58" w:rsidP="00722C27">
            <w:pPr>
              <w:numPr>
                <w:ilvl w:val="0"/>
                <w:numId w:val="8"/>
              </w:numPr>
              <w:spacing w:after="0" w:line="240" w:lineRule="auto"/>
              <w:ind w:left="1440" w:hanging="360"/>
              <w:jc w:val="both"/>
              <w:rPr>
                <w:rFonts w:eastAsia="Calibri" w:cs="Calibri"/>
                <w:sz w:val="24"/>
              </w:rPr>
            </w:pPr>
            <w:r>
              <w:rPr>
                <w:rFonts w:eastAsia="Calibri" w:cs="Calibri"/>
                <w:sz w:val="24"/>
              </w:rPr>
              <w:t>advice on available services and access to them</w:t>
            </w:r>
          </w:p>
          <w:p w:rsidR="008D2134" w:rsidRDefault="00E12B58" w:rsidP="00722C27">
            <w:pPr>
              <w:numPr>
                <w:ilvl w:val="0"/>
                <w:numId w:val="8"/>
              </w:numPr>
              <w:spacing w:after="0" w:line="240" w:lineRule="auto"/>
              <w:ind w:left="1440" w:hanging="360"/>
              <w:jc w:val="both"/>
              <w:rPr>
                <w:rFonts w:eastAsia="Calibri" w:cs="Calibri"/>
                <w:sz w:val="24"/>
              </w:rPr>
            </w:pPr>
            <w:r>
              <w:rPr>
                <w:rFonts w:eastAsia="Calibri" w:cs="Calibri"/>
                <w:sz w:val="24"/>
              </w:rPr>
              <w:t>triage, referral support, linked with EYHPs</w:t>
            </w:r>
          </w:p>
          <w:p w:rsidR="008D2134" w:rsidRPr="00D93775" w:rsidRDefault="008D2134" w:rsidP="00722C27">
            <w:pPr>
              <w:spacing w:after="0" w:line="240" w:lineRule="auto"/>
              <w:ind w:left="1440"/>
              <w:jc w:val="both"/>
              <w:rPr>
                <w:rFonts w:eastAsia="Calibri" w:cs="Calibri"/>
              </w:rPr>
            </w:pPr>
          </w:p>
        </w:tc>
      </w:tr>
      <w:tr w:rsidR="008D2134">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center"/>
              <w:rPr>
                <w:rFonts w:eastAsia="Calibri" w:cs="Calibri"/>
              </w:rPr>
            </w:pPr>
            <w:r>
              <w:rPr>
                <w:rFonts w:eastAsia="Calibri" w:cs="Calibri"/>
                <w:b/>
                <w:sz w:val="24"/>
              </w:rPr>
              <w:t>3</w:t>
            </w:r>
          </w:p>
        </w:tc>
        <w:tc>
          <w:tcPr>
            <w:tcW w:w="8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both"/>
              <w:rPr>
                <w:rFonts w:eastAsia="Calibri" w:cs="Calibri"/>
                <w:i/>
                <w:sz w:val="24"/>
              </w:rPr>
            </w:pPr>
            <w:r>
              <w:rPr>
                <w:rFonts w:eastAsia="Calibri" w:cs="Calibri"/>
                <w:i/>
                <w:sz w:val="24"/>
              </w:rPr>
              <w:t>Referral to service required from this point</w:t>
            </w:r>
          </w:p>
          <w:p w:rsidR="008D2134" w:rsidRDefault="00E12B58" w:rsidP="00722C27">
            <w:pPr>
              <w:spacing w:after="0" w:line="240" w:lineRule="auto"/>
              <w:jc w:val="both"/>
              <w:rPr>
                <w:rFonts w:eastAsia="Calibri" w:cs="Calibri"/>
                <w:sz w:val="24"/>
              </w:rPr>
            </w:pPr>
            <w:r>
              <w:rPr>
                <w:rFonts w:eastAsia="Calibri" w:cs="Calibri"/>
                <w:sz w:val="24"/>
              </w:rPr>
              <w:t>Bespoke programmes of support including:</w:t>
            </w:r>
          </w:p>
          <w:p w:rsidR="008D2134" w:rsidRDefault="00E12B58" w:rsidP="00722C27">
            <w:pPr>
              <w:numPr>
                <w:ilvl w:val="0"/>
                <w:numId w:val="9"/>
              </w:numPr>
              <w:spacing w:after="0" w:line="240" w:lineRule="auto"/>
              <w:ind w:left="1440" w:hanging="360"/>
              <w:jc w:val="both"/>
              <w:rPr>
                <w:rFonts w:eastAsia="Calibri" w:cs="Calibri"/>
                <w:sz w:val="24"/>
              </w:rPr>
            </w:pPr>
            <w:r>
              <w:rPr>
                <w:rFonts w:eastAsia="Calibri" w:cs="Calibri"/>
                <w:sz w:val="24"/>
              </w:rPr>
              <w:t>school visits</w:t>
            </w:r>
          </w:p>
          <w:p w:rsidR="008D2134" w:rsidRDefault="00E12B58" w:rsidP="00722C27">
            <w:pPr>
              <w:numPr>
                <w:ilvl w:val="0"/>
                <w:numId w:val="9"/>
              </w:numPr>
              <w:spacing w:after="0" w:line="240" w:lineRule="auto"/>
              <w:ind w:left="1440" w:hanging="360"/>
              <w:jc w:val="both"/>
              <w:rPr>
                <w:rFonts w:eastAsia="Calibri" w:cs="Calibri"/>
                <w:sz w:val="24"/>
              </w:rPr>
            </w:pPr>
            <w:r>
              <w:rPr>
                <w:rFonts w:eastAsia="Calibri" w:cs="Calibri"/>
                <w:sz w:val="24"/>
              </w:rPr>
              <w:t>attendance at Multiagency meetings</w:t>
            </w:r>
          </w:p>
          <w:p w:rsidR="008D2134" w:rsidRDefault="00E12B58" w:rsidP="00722C27">
            <w:pPr>
              <w:numPr>
                <w:ilvl w:val="0"/>
                <w:numId w:val="9"/>
              </w:numPr>
              <w:spacing w:after="0" w:line="240" w:lineRule="auto"/>
              <w:ind w:left="1440" w:hanging="360"/>
              <w:jc w:val="both"/>
              <w:rPr>
                <w:rFonts w:eastAsia="Calibri" w:cs="Calibri"/>
                <w:sz w:val="24"/>
              </w:rPr>
            </w:pPr>
            <w:r>
              <w:rPr>
                <w:rFonts w:eastAsia="Calibri" w:cs="Calibri"/>
                <w:sz w:val="24"/>
              </w:rPr>
              <w:t xml:space="preserve">cross titration support </w:t>
            </w:r>
          </w:p>
          <w:p w:rsidR="008D2134" w:rsidRDefault="00BA39F6" w:rsidP="00722C27">
            <w:pPr>
              <w:numPr>
                <w:ilvl w:val="0"/>
                <w:numId w:val="9"/>
              </w:numPr>
              <w:spacing w:after="0" w:line="240" w:lineRule="auto"/>
              <w:ind w:left="1440" w:hanging="360"/>
              <w:jc w:val="both"/>
              <w:rPr>
                <w:rFonts w:eastAsia="Calibri" w:cs="Calibri"/>
                <w:sz w:val="24"/>
              </w:rPr>
            </w:pPr>
            <w:r>
              <w:rPr>
                <w:rFonts w:eastAsia="Calibri" w:cs="Calibri"/>
                <w:sz w:val="24"/>
              </w:rPr>
              <w:t>e-</w:t>
            </w:r>
            <w:r w:rsidR="00E12B58">
              <w:rPr>
                <w:rFonts w:eastAsia="Calibri" w:cs="Calibri"/>
                <w:sz w:val="24"/>
              </w:rPr>
              <w:t>earning/school based tuition</w:t>
            </w:r>
          </w:p>
          <w:p w:rsidR="008D2134" w:rsidRDefault="00E12B58" w:rsidP="00722C27">
            <w:pPr>
              <w:numPr>
                <w:ilvl w:val="0"/>
                <w:numId w:val="9"/>
              </w:numPr>
              <w:spacing w:after="0" w:line="240" w:lineRule="auto"/>
              <w:ind w:left="1440" w:hanging="360"/>
              <w:jc w:val="both"/>
              <w:rPr>
                <w:rFonts w:eastAsia="Calibri" w:cs="Calibri"/>
                <w:sz w:val="24"/>
              </w:rPr>
            </w:pPr>
            <w:r>
              <w:rPr>
                <w:rFonts w:eastAsia="Calibri" w:cs="Calibri"/>
                <w:sz w:val="24"/>
              </w:rPr>
              <w:t>outreach tuition – in school/hospital</w:t>
            </w:r>
          </w:p>
          <w:p w:rsidR="008D2134" w:rsidRDefault="00E12B58" w:rsidP="00722C27">
            <w:pPr>
              <w:numPr>
                <w:ilvl w:val="0"/>
                <w:numId w:val="9"/>
              </w:numPr>
              <w:spacing w:after="0" w:line="240" w:lineRule="auto"/>
              <w:ind w:left="1440" w:hanging="360"/>
              <w:jc w:val="both"/>
              <w:rPr>
                <w:rFonts w:eastAsia="Calibri" w:cs="Calibri"/>
                <w:sz w:val="24"/>
              </w:rPr>
            </w:pPr>
            <w:r>
              <w:rPr>
                <w:rFonts w:eastAsia="Calibri" w:cs="Calibri"/>
                <w:sz w:val="24"/>
              </w:rPr>
              <w:t>support with risk assessments</w:t>
            </w:r>
          </w:p>
          <w:p w:rsidR="008D2134" w:rsidRDefault="00E12B58" w:rsidP="00722C27">
            <w:pPr>
              <w:numPr>
                <w:ilvl w:val="0"/>
                <w:numId w:val="9"/>
              </w:numPr>
              <w:spacing w:after="0" w:line="240" w:lineRule="auto"/>
              <w:ind w:left="1440" w:hanging="360"/>
              <w:jc w:val="both"/>
              <w:rPr>
                <w:rFonts w:eastAsia="Calibri" w:cs="Calibri"/>
              </w:rPr>
            </w:pPr>
            <w:r>
              <w:rPr>
                <w:rFonts w:eastAsia="Calibri" w:cs="Calibri"/>
                <w:sz w:val="24"/>
              </w:rPr>
              <w:t>modelling approaches</w:t>
            </w:r>
          </w:p>
          <w:p w:rsidR="008D2134" w:rsidRPr="00AD56FD" w:rsidRDefault="00E12B58" w:rsidP="00722C27">
            <w:pPr>
              <w:numPr>
                <w:ilvl w:val="0"/>
                <w:numId w:val="9"/>
              </w:numPr>
              <w:spacing w:after="0" w:line="240" w:lineRule="auto"/>
              <w:ind w:left="1440" w:hanging="360"/>
              <w:jc w:val="both"/>
              <w:rPr>
                <w:rFonts w:eastAsia="Calibri" w:cs="Calibri"/>
              </w:rPr>
            </w:pPr>
            <w:r>
              <w:rPr>
                <w:rFonts w:eastAsia="Calibri" w:cs="Calibri"/>
                <w:sz w:val="24"/>
              </w:rPr>
              <w:t>part time hub placement with re-integration plan</w:t>
            </w:r>
          </w:p>
          <w:p w:rsidR="00AD56FD" w:rsidRDefault="00AD56FD" w:rsidP="00AD56FD">
            <w:pPr>
              <w:spacing w:after="0" w:line="240" w:lineRule="auto"/>
              <w:ind w:left="1440"/>
              <w:jc w:val="both"/>
              <w:rPr>
                <w:rFonts w:eastAsia="Calibri" w:cs="Calibri"/>
              </w:rPr>
            </w:pPr>
          </w:p>
        </w:tc>
      </w:tr>
      <w:tr w:rsidR="008D2134">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center"/>
              <w:rPr>
                <w:rFonts w:eastAsia="Calibri" w:cs="Calibri"/>
              </w:rPr>
            </w:pPr>
            <w:r>
              <w:rPr>
                <w:rFonts w:eastAsia="Calibri" w:cs="Calibri"/>
                <w:b/>
                <w:sz w:val="24"/>
              </w:rPr>
              <w:t>4</w:t>
            </w:r>
          </w:p>
        </w:tc>
        <w:tc>
          <w:tcPr>
            <w:tcW w:w="8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both"/>
              <w:rPr>
                <w:rFonts w:eastAsia="Calibri" w:cs="Calibri"/>
                <w:sz w:val="24"/>
              </w:rPr>
            </w:pPr>
            <w:r>
              <w:rPr>
                <w:rFonts w:eastAsia="Calibri" w:cs="Calibri"/>
                <w:sz w:val="24"/>
              </w:rPr>
              <w:t>Bespoke programmes of support including:</w:t>
            </w:r>
          </w:p>
          <w:p w:rsidR="008D2134" w:rsidRDefault="00E12B58" w:rsidP="00722C27">
            <w:pPr>
              <w:numPr>
                <w:ilvl w:val="0"/>
                <w:numId w:val="10"/>
              </w:numPr>
              <w:spacing w:after="0" w:line="240" w:lineRule="auto"/>
              <w:ind w:left="1440" w:hanging="360"/>
              <w:jc w:val="both"/>
              <w:rPr>
                <w:rFonts w:eastAsia="Calibri" w:cs="Calibri"/>
                <w:sz w:val="24"/>
              </w:rPr>
            </w:pPr>
            <w:r>
              <w:rPr>
                <w:rFonts w:eastAsia="Calibri" w:cs="Calibri"/>
                <w:sz w:val="24"/>
              </w:rPr>
              <w:t>full time attendance at hub with re-integration programme</w:t>
            </w:r>
          </w:p>
          <w:p w:rsidR="008D2134" w:rsidRPr="00AD56FD" w:rsidRDefault="002E5A5D" w:rsidP="00722C27">
            <w:pPr>
              <w:numPr>
                <w:ilvl w:val="0"/>
                <w:numId w:val="10"/>
              </w:numPr>
              <w:spacing w:after="0" w:line="240" w:lineRule="auto"/>
              <w:ind w:left="1440" w:hanging="360"/>
              <w:jc w:val="both"/>
              <w:rPr>
                <w:rFonts w:eastAsia="Calibri" w:cs="Calibri"/>
              </w:rPr>
            </w:pPr>
            <w:r>
              <w:rPr>
                <w:rFonts w:eastAsia="Calibri" w:cs="Calibri"/>
                <w:sz w:val="24"/>
              </w:rPr>
              <w:t>-</w:t>
            </w:r>
            <w:r w:rsidR="00E12B58">
              <w:rPr>
                <w:rFonts w:eastAsia="Calibri" w:cs="Calibri"/>
                <w:sz w:val="24"/>
              </w:rPr>
              <w:t>Learning/ Home tuition (physical medical e.g. oncology)</w:t>
            </w:r>
          </w:p>
          <w:p w:rsidR="00AD56FD" w:rsidRDefault="00AD56FD" w:rsidP="00AD56FD">
            <w:pPr>
              <w:spacing w:after="0" w:line="240" w:lineRule="auto"/>
              <w:ind w:left="1440"/>
              <w:jc w:val="both"/>
              <w:rPr>
                <w:rFonts w:eastAsia="Calibri" w:cs="Calibri"/>
              </w:rPr>
            </w:pPr>
          </w:p>
        </w:tc>
      </w:tr>
      <w:tr w:rsidR="008D2134">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center"/>
              <w:rPr>
                <w:rFonts w:eastAsia="Calibri" w:cs="Calibri"/>
              </w:rPr>
            </w:pPr>
            <w:r>
              <w:rPr>
                <w:rFonts w:eastAsia="Calibri" w:cs="Calibri"/>
                <w:b/>
                <w:sz w:val="24"/>
              </w:rPr>
              <w:t>5</w:t>
            </w:r>
          </w:p>
        </w:tc>
        <w:tc>
          <w:tcPr>
            <w:tcW w:w="8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134" w:rsidRDefault="00E12B58" w:rsidP="00722C27">
            <w:pPr>
              <w:spacing w:after="0" w:line="240" w:lineRule="auto"/>
              <w:jc w:val="both"/>
              <w:rPr>
                <w:rFonts w:eastAsia="Calibri" w:cs="Calibri"/>
                <w:sz w:val="24"/>
              </w:rPr>
            </w:pPr>
            <w:proofErr w:type="spellStart"/>
            <w:r>
              <w:rPr>
                <w:rFonts w:eastAsia="Calibri" w:cs="Calibri"/>
                <w:sz w:val="24"/>
              </w:rPr>
              <w:t>Oakfields</w:t>
            </w:r>
            <w:proofErr w:type="spellEnd"/>
            <w:r>
              <w:rPr>
                <w:rFonts w:eastAsia="Calibri" w:cs="Calibri"/>
                <w:sz w:val="24"/>
              </w:rPr>
              <w:t xml:space="preserve"> – residential</w:t>
            </w:r>
          </w:p>
          <w:p w:rsidR="00AD56FD" w:rsidRDefault="00AD56FD" w:rsidP="00AD56FD">
            <w:pPr>
              <w:spacing w:after="0" w:line="240" w:lineRule="auto"/>
              <w:jc w:val="both"/>
              <w:rPr>
                <w:rFonts w:eastAsia="Calibri" w:cs="Calibri"/>
                <w:sz w:val="24"/>
              </w:rPr>
            </w:pPr>
          </w:p>
          <w:p w:rsidR="00AD56FD" w:rsidRDefault="00AD56FD" w:rsidP="00AD56FD">
            <w:pPr>
              <w:spacing w:after="0" w:line="240" w:lineRule="auto"/>
              <w:jc w:val="both"/>
              <w:rPr>
                <w:rFonts w:eastAsia="Calibri" w:cs="Calibri"/>
              </w:rPr>
            </w:pPr>
          </w:p>
        </w:tc>
      </w:tr>
    </w:tbl>
    <w:p w:rsidR="00AD56FD" w:rsidRDefault="00E12B58" w:rsidP="006D0BB0">
      <w:pPr>
        <w:jc w:val="both"/>
        <w:rPr>
          <w:i/>
          <w:sz w:val="24"/>
          <w:szCs w:val="24"/>
        </w:rPr>
      </w:pPr>
      <w:r w:rsidRPr="005B182F">
        <w:rPr>
          <w:i/>
          <w:sz w:val="24"/>
          <w:szCs w:val="24"/>
        </w:rPr>
        <w:t>It should be noted that where resources are stretched, priority will be given to stages 3 and above.</w:t>
      </w:r>
      <w:r w:rsidR="00214122">
        <w:rPr>
          <w:i/>
          <w:sz w:val="24"/>
          <w:szCs w:val="24"/>
        </w:rPr>
        <w:t xml:space="preserve"> </w:t>
      </w:r>
    </w:p>
    <w:p w:rsidR="008D2134" w:rsidRDefault="00E12B58" w:rsidP="006D0BB0">
      <w:pPr>
        <w:jc w:val="both"/>
        <w:rPr>
          <w:sz w:val="24"/>
          <w:szCs w:val="24"/>
        </w:rPr>
      </w:pPr>
      <w:r>
        <w:rPr>
          <w:sz w:val="24"/>
          <w:szCs w:val="24"/>
        </w:rPr>
        <w:t>The services in stage 1 and 2 can be accessed at any time. The earlier the advice is sought and a young person</w:t>
      </w:r>
      <w:r w:rsidR="00BA39F6">
        <w:rPr>
          <w:sz w:val="24"/>
          <w:szCs w:val="24"/>
        </w:rPr>
        <w:t>’</w:t>
      </w:r>
      <w:r>
        <w:rPr>
          <w:sz w:val="24"/>
          <w:szCs w:val="24"/>
        </w:rPr>
        <w:t>s needs highlighted</w:t>
      </w:r>
      <w:r w:rsidR="00BA39F6">
        <w:rPr>
          <w:sz w:val="24"/>
          <w:szCs w:val="24"/>
        </w:rPr>
        <w:t>,</w:t>
      </w:r>
      <w:r>
        <w:rPr>
          <w:sz w:val="24"/>
          <w:szCs w:val="24"/>
        </w:rPr>
        <w:t xml:space="preserve"> the better. When a school becomes aware that a young person</w:t>
      </w:r>
      <w:r w:rsidR="008A2392">
        <w:rPr>
          <w:sz w:val="24"/>
          <w:szCs w:val="24"/>
        </w:rPr>
        <w:t>’s</w:t>
      </w:r>
      <w:r>
        <w:rPr>
          <w:sz w:val="24"/>
          <w:szCs w:val="24"/>
        </w:rPr>
        <w:t xml:space="preserve"> medical need is such that their attendance has ceased or </w:t>
      </w:r>
      <w:r w:rsidR="00BA39F6">
        <w:rPr>
          <w:sz w:val="24"/>
          <w:szCs w:val="24"/>
        </w:rPr>
        <w:t>reduced significantly</w:t>
      </w:r>
      <w:r>
        <w:rPr>
          <w:sz w:val="24"/>
          <w:szCs w:val="24"/>
        </w:rPr>
        <w:t>, they have a duty to provide work to the pupil at home for 15 school days. At this stage the school can make a referral to the service.</w:t>
      </w:r>
    </w:p>
    <w:p w:rsidR="008D2134" w:rsidRDefault="00E12B58">
      <w:pPr>
        <w:jc w:val="both"/>
        <w:rPr>
          <w:sz w:val="24"/>
          <w:szCs w:val="24"/>
        </w:rPr>
      </w:pPr>
      <w:r>
        <w:rPr>
          <w:sz w:val="24"/>
          <w:szCs w:val="24"/>
        </w:rPr>
        <w:t>The referral panel meets weekly</w:t>
      </w:r>
      <w:r w:rsidR="00F14203">
        <w:rPr>
          <w:sz w:val="24"/>
          <w:szCs w:val="24"/>
        </w:rPr>
        <w:t>. It</w:t>
      </w:r>
      <w:r>
        <w:rPr>
          <w:sz w:val="24"/>
          <w:szCs w:val="24"/>
        </w:rPr>
        <w:t xml:space="preserve"> is important </w:t>
      </w:r>
      <w:r w:rsidR="008714A7">
        <w:rPr>
          <w:sz w:val="24"/>
          <w:szCs w:val="24"/>
        </w:rPr>
        <w:t xml:space="preserve">that </w:t>
      </w:r>
      <w:r>
        <w:rPr>
          <w:sz w:val="24"/>
          <w:szCs w:val="24"/>
        </w:rPr>
        <w:t>as much information as possible is included in the referral. The panel will discuss</w:t>
      </w:r>
      <w:r w:rsidR="007B7D9F">
        <w:rPr>
          <w:sz w:val="24"/>
          <w:szCs w:val="24"/>
        </w:rPr>
        <w:t xml:space="preserve"> each </w:t>
      </w:r>
      <w:r w:rsidR="007907C5">
        <w:rPr>
          <w:sz w:val="24"/>
          <w:szCs w:val="24"/>
        </w:rPr>
        <w:t xml:space="preserve">referral </w:t>
      </w:r>
      <w:r w:rsidR="008714A7">
        <w:rPr>
          <w:sz w:val="24"/>
          <w:szCs w:val="24"/>
        </w:rPr>
        <w:t>and</w:t>
      </w:r>
      <w:r>
        <w:rPr>
          <w:sz w:val="24"/>
          <w:szCs w:val="24"/>
        </w:rPr>
        <w:t xml:space="preserve"> decide on one of the following outcomes:</w:t>
      </w:r>
    </w:p>
    <w:p w:rsidR="008D2134" w:rsidRPr="001B42A5" w:rsidRDefault="007B7D9F" w:rsidP="00722C27">
      <w:pPr>
        <w:pStyle w:val="ListParagraph"/>
        <w:numPr>
          <w:ilvl w:val="0"/>
          <w:numId w:val="11"/>
        </w:numPr>
        <w:jc w:val="both"/>
        <w:rPr>
          <w:sz w:val="24"/>
          <w:szCs w:val="24"/>
        </w:rPr>
      </w:pPr>
      <w:r>
        <w:rPr>
          <w:sz w:val="24"/>
          <w:szCs w:val="24"/>
        </w:rPr>
        <w:t>support</w:t>
      </w:r>
      <w:r w:rsidRPr="001B42A5">
        <w:rPr>
          <w:sz w:val="24"/>
          <w:szCs w:val="24"/>
        </w:rPr>
        <w:t xml:space="preserve"> </w:t>
      </w:r>
      <w:r w:rsidR="00E12B58" w:rsidRPr="001B42A5">
        <w:rPr>
          <w:sz w:val="24"/>
          <w:szCs w:val="24"/>
        </w:rPr>
        <w:t>to be provided by</w:t>
      </w:r>
      <w:r w:rsidR="007907C5">
        <w:rPr>
          <w:sz w:val="24"/>
          <w:szCs w:val="24"/>
        </w:rPr>
        <w:t xml:space="preserve"> Kent</w:t>
      </w:r>
      <w:r w:rsidR="00E12B58" w:rsidRPr="001B42A5">
        <w:rPr>
          <w:sz w:val="24"/>
          <w:szCs w:val="24"/>
        </w:rPr>
        <w:t xml:space="preserve"> Health Needs Education Service (see below)</w:t>
      </w:r>
    </w:p>
    <w:p w:rsidR="008D2134" w:rsidRPr="001B42A5" w:rsidRDefault="007B7D9F" w:rsidP="00722C27">
      <w:pPr>
        <w:pStyle w:val="ListParagraph"/>
        <w:numPr>
          <w:ilvl w:val="0"/>
          <w:numId w:val="11"/>
        </w:numPr>
        <w:jc w:val="both"/>
        <w:rPr>
          <w:sz w:val="24"/>
          <w:szCs w:val="24"/>
        </w:rPr>
      </w:pPr>
      <w:proofErr w:type="gramStart"/>
      <w:r>
        <w:rPr>
          <w:sz w:val="24"/>
          <w:szCs w:val="24"/>
        </w:rPr>
        <w:t>further</w:t>
      </w:r>
      <w:proofErr w:type="gramEnd"/>
      <w:r w:rsidRPr="001B42A5">
        <w:rPr>
          <w:sz w:val="24"/>
          <w:szCs w:val="24"/>
        </w:rPr>
        <w:t xml:space="preserve"> </w:t>
      </w:r>
      <w:r w:rsidR="00E12B58" w:rsidRPr="001B42A5">
        <w:rPr>
          <w:sz w:val="24"/>
          <w:szCs w:val="24"/>
        </w:rPr>
        <w:t xml:space="preserve">information </w:t>
      </w:r>
      <w:r w:rsidR="007907C5">
        <w:rPr>
          <w:sz w:val="24"/>
          <w:szCs w:val="24"/>
        </w:rPr>
        <w:t>requested</w:t>
      </w:r>
      <w:r>
        <w:rPr>
          <w:sz w:val="24"/>
          <w:szCs w:val="24"/>
        </w:rPr>
        <w:t>;</w:t>
      </w:r>
      <w:r w:rsidR="00E12B58" w:rsidRPr="001B42A5">
        <w:rPr>
          <w:sz w:val="24"/>
          <w:szCs w:val="24"/>
        </w:rPr>
        <w:t xml:space="preserve"> details of the information required will be sent to you. You may be invited to a subsequent panel meeting to discuss the case.</w:t>
      </w:r>
    </w:p>
    <w:p w:rsidR="00AD56FD" w:rsidRDefault="007B7D9F" w:rsidP="006D0BB0">
      <w:pPr>
        <w:pStyle w:val="ListParagraph"/>
        <w:numPr>
          <w:ilvl w:val="0"/>
          <w:numId w:val="11"/>
        </w:numPr>
        <w:jc w:val="both"/>
        <w:rPr>
          <w:sz w:val="24"/>
          <w:szCs w:val="24"/>
        </w:rPr>
      </w:pPr>
      <w:proofErr w:type="gramStart"/>
      <w:r>
        <w:rPr>
          <w:sz w:val="24"/>
          <w:szCs w:val="24"/>
        </w:rPr>
        <w:t>advice</w:t>
      </w:r>
      <w:proofErr w:type="gramEnd"/>
      <w:r w:rsidRPr="001B42A5">
        <w:rPr>
          <w:sz w:val="24"/>
          <w:szCs w:val="24"/>
        </w:rPr>
        <w:t xml:space="preserve"> </w:t>
      </w:r>
      <w:r w:rsidR="008714A7">
        <w:rPr>
          <w:sz w:val="24"/>
          <w:szCs w:val="24"/>
        </w:rPr>
        <w:t xml:space="preserve">is </w:t>
      </w:r>
      <w:r w:rsidR="00E12B58" w:rsidRPr="001B42A5">
        <w:rPr>
          <w:sz w:val="24"/>
          <w:szCs w:val="24"/>
        </w:rPr>
        <w:t xml:space="preserve">given to school, insufficient </w:t>
      </w:r>
      <w:r w:rsidR="007907C5">
        <w:rPr>
          <w:sz w:val="24"/>
          <w:szCs w:val="24"/>
        </w:rPr>
        <w:t>justification</w:t>
      </w:r>
      <w:r w:rsidR="007907C5" w:rsidRPr="001B42A5">
        <w:rPr>
          <w:sz w:val="24"/>
          <w:szCs w:val="24"/>
        </w:rPr>
        <w:t xml:space="preserve"> </w:t>
      </w:r>
      <w:r w:rsidR="00E12B58" w:rsidRPr="001B42A5">
        <w:rPr>
          <w:sz w:val="24"/>
          <w:szCs w:val="24"/>
        </w:rPr>
        <w:t xml:space="preserve">for support at present. </w:t>
      </w:r>
    </w:p>
    <w:p w:rsidR="008D2134" w:rsidRPr="00AD56FD" w:rsidRDefault="00E12B58" w:rsidP="00AD56FD">
      <w:pPr>
        <w:ind w:left="360"/>
        <w:jc w:val="both"/>
        <w:rPr>
          <w:sz w:val="24"/>
          <w:szCs w:val="24"/>
        </w:rPr>
      </w:pPr>
      <w:r w:rsidRPr="00AD56FD">
        <w:rPr>
          <w:sz w:val="24"/>
          <w:szCs w:val="24"/>
        </w:rPr>
        <w:lastRenderedPageBreak/>
        <w:t>Where the referral is accepted a bespoke support programme will be developed in conjunction with all involved professionals and the young person and their family. This could include any of the interventions from stage 3 or 4. All will include:</w:t>
      </w:r>
    </w:p>
    <w:p w:rsidR="008D2134" w:rsidRPr="001B42A5" w:rsidRDefault="00BA39F6">
      <w:pPr>
        <w:pStyle w:val="ListParagraph"/>
        <w:numPr>
          <w:ilvl w:val="0"/>
          <w:numId w:val="12"/>
        </w:numPr>
        <w:jc w:val="both"/>
        <w:rPr>
          <w:sz w:val="24"/>
          <w:szCs w:val="24"/>
        </w:rPr>
      </w:pPr>
      <w:r>
        <w:rPr>
          <w:sz w:val="24"/>
          <w:szCs w:val="24"/>
        </w:rPr>
        <w:t>r</w:t>
      </w:r>
      <w:r w:rsidR="00E12B58" w:rsidRPr="001B42A5">
        <w:rPr>
          <w:sz w:val="24"/>
          <w:szCs w:val="24"/>
        </w:rPr>
        <w:t>e-integration plan</w:t>
      </w:r>
    </w:p>
    <w:p w:rsidR="008D2134" w:rsidRPr="001B42A5" w:rsidRDefault="00BA39F6">
      <w:pPr>
        <w:pStyle w:val="ListParagraph"/>
        <w:numPr>
          <w:ilvl w:val="0"/>
          <w:numId w:val="12"/>
        </w:numPr>
        <w:jc w:val="both"/>
        <w:rPr>
          <w:sz w:val="24"/>
          <w:szCs w:val="24"/>
        </w:rPr>
      </w:pPr>
      <w:r>
        <w:rPr>
          <w:sz w:val="24"/>
          <w:szCs w:val="24"/>
        </w:rPr>
        <w:t>a</w:t>
      </w:r>
      <w:r w:rsidR="00E12B58" w:rsidRPr="001B42A5">
        <w:rPr>
          <w:sz w:val="24"/>
          <w:szCs w:val="24"/>
        </w:rPr>
        <w:t>greed review periods</w:t>
      </w:r>
    </w:p>
    <w:p w:rsidR="008D2134" w:rsidRDefault="00BA39F6">
      <w:pPr>
        <w:pStyle w:val="ListParagraph"/>
        <w:numPr>
          <w:ilvl w:val="0"/>
          <w:numId w:val="12"/>
        </w:numPr>
        <w:jc w:val="both"/>
        <w:rPr>
          <w:sz w:val="24"/>
          <w:szCs w:val="24"/>
        </w:rPr>
      </w:pPr>
      <w:r>
        <w:rPr>
          <w:sz w:val="24"/>
          <w:szCs w:val="24"/>
        </w:rPr>
        <w:t>c</w:t>
      </w:r>
      <w:r w:rsidR="00E12B58" w:rsidRPr="001B42A5">
        <w:rPr>
          <w:sz w:val="24"/>
          <w:szCs w:val="24"/>
        </w:rPr>
        <w:t>ontinuation of core learning</w:t>
      </w:r>
    </w:p>
    <w:p w:rsidR="008D2134" w:rsidRPr="001B42A5" w:rsidRDefault="00E12B58" w:rsidP="00722C27">
      <w:pPr>
        <w:jc w:val="both"/>
        <w:rPr>
          <w:rFonts w:eastAsia="Calibri" w:cs="Calibri"/>
        </w:rPr>
      </w:pPr>
      <w:r>
        <w:rPr>
          <w:rFonts w:eastAsia="Calibri" w:cs="Calibri"/>
          <w:sz w:val="24"/>
        </w:rPr>
        <w:t xml:space="preserve">Young people benefit most from being amongst their peers and studying the full curriculum offered by their home school, therefore it is always the intention to remove young people from their home school for as minimal a time as possible and to support with their re-integration. </w:t>
      </w:r>
    </w:p>
    <w:p w:rsidR="008D2134" w:rsidRDefault="00E12B58" w:rsidP="003F188B">
      <w:pPr>
        <w:jc w:val="both"/>
        <w:rPr>
          <w:sz w:val="24"/>
          <w:szCs w:val="24"/>
        </w:rPr>
      </w:pPr>
      <w:r>
        <w:rPr>
          <w:sz w:val="24"/>
          <w:szCs w:val="24"/>
        </w:rPr>
        <w:t>While supported th</w:t>
      </w:r>
      <w:r w:rsidR="00AD56FD">
        <w:rPr>
          <w:sz w:val="24"/>
          <w:szCs w:val="24"/>
        </w:rPr>
        <w:t>e young people will be dual rolled</w:t>
      </w:r>
      <w:r>
        <w:rPr>
          <w:sz w:val="24"/>
          <w:szCs w:val="24"/>
        </w:rPr>
        <w:t xml:space="preserve"> subsidiary. </w:t>
      </w:r>
    </w:p>
    <w:p w:rsidR="008D2134" w:rsidRDefault="00E12B58" w:rsidP="00722C27">
      <w:pPr>
        <w:pStyle w:val="Heading1"/>
        <w:jc w:val="both"/>
      </w:pPr>
      <w:r>
        <w:t>Pupils with Educational Health Care Plans</w:t>
      </w:r>
    </w:p>
    <w:p w:rsidR="008D2134" w:rsidRDefault="00E12B58" w:rsidP="006D0BB0">
      <w:pPr>
        <w:jc w:val="both"/>
        <w:rPr>
          <w:sz w:val="24"/>
          <w:szCs w:val="24"/>
        </w:rPr>
      </w:pPr>
      <w:r>
        <w:rPr>
          <w:sz w:val="24"/>
          <w:szCs w:val="24"/>
        </w:rPr>
        <w:t xml:space="preserve">Where pupils with EHCPs develop additional health needs, the school will need to call an interim review meeting to agree the referral. A representative from the Kent Health </w:t>
      </w:r>
      <w:r w:rsidR="00BA39F6">
        <w:rPr>
          <w:sz w:val="24"/>
          <w:szCs w:val="24"/>
        </w:rPr>
        <w:t xml:space="preserve">Needs </w:t>
      </w:r>
      <w:r>
        <w:rPr>
          <w:sz w:val="24"/>
          <w:szCs w:val="24"/>
        </w:rPr>
        <w:t>Education Service should be invited to this meeting.</w:t>
      </w:r>
    </w:p>
    <w:p w:rsidR="008D2134" w:rsidRDefault="00E12B58" w:rsidP="00722C27">
      <w:pPr>
        <w:pStyle w:val="Heading1"/>
        <w:jc w:val="both"/>
      </w:pPr>
      <w:r>
        <w:t>Admission Criteria for Kent Health</w:t>
      </w:r>
      <w:r w:rsidR="00BA39F6">
        <w:t xml:space="preserve"> Needs</w:t>
      </w:r>
      <w:r>
        <w:t xml:space="preserve"> Education Service</w:t>
      </w:r>
    </w:p>
    <w:p w:rsidR="008D2134" w:rsidRPr="0090677E" w:rsidRDefault="00E12B58" w:rsidP="003F188B">
      <w:pPr>
        <w:jc w:val="both"/>
        <w:rPr>
          <w:rFonts w:cs="Times New Roman"/>
          <w:sz w:val="24"/>
          <w:szCs w:val="24"/>
        </w:rPr>
      </w:pPr>
      <w:r>
        <w:rPr>
          <w:rFonts w:cs="Times New Roman"/>
          <w:sz w:val="24"/>
          <w:szCs w:val="24"/>
        </w:rPr>
        <w:t xml:space="preserve">Kent Health </w:t>
      </w:r>
      <w:r w:rsidR="00BA39F6">
        <w:rPr>
          <w:rFonts w:cs="Times New Roman"/>
          <w:sz w:val="24"/>
          <w:szCs w:val="24"/>
        </w:rPr>
        <w:t xml:space="preserve">Needs </w:t>
      </w:r>
      <w:r>
        <w:rPr>
          <w:rFonts w:cs="Times New Roman"/>
          <w:sz w:val="24"/>
          <w:szCs w:val="24"/>
        </w:rPr>
        <w:t xml:space="preserve">Education Service is an interim service to enable pupils to access their normal school. Placements are based on the specific aim of supporting the pupil returning to school. This is not </w:t>
      </w:r>
      <w:r w:rsidRPr="00BA39F6">
        <w:rPr>
          <w:rFonts w:cs="Times New Roman"/>
          <w:sz w:val="24"/>
          <w:szCs w:val="24"/>
        </w:rPr>
        <w:t>an exhaustive list as we want to provide an inclusive service that caters to young people</w:t>
      </w:r>
      <w:r w:rsidR="00BA39F6">
        <w:rPr>
          <w:rFonts w:cs="Times New Roman"/>
          <w:sz w:val="24"/>
          <w:szCs w:val="24"/>
        </w:rPr>
        <w:t>’</w:t>
      </w:r>
      <w:r w:rsidRPr="00BA39F6">
        <w:rPr>
          <w:rFonts w:cs="Times New Roman"/>
          <w:sz w:val="24"/>
          <w:szCs w:val="24"/>
        </w:rPr>
        <w:t xml:space="preserve">s health needs. </w:t>
      </w:r>
      <w:proofErr w:type="gramStart"/>
      <w:r w:rsidRPr="00BA39F6">
        <w:rPr>
          <w:rFonts w:cs="Times New Roman"/>
          <w:sz w:val="24"/>
          <w:szCs w:val="24"/>
        </w:rPr>
        <w:t xml:space="preserve">If you require further advice or support please contact the </w:t>
      </w:r>
      <w:r w:rsidRPr="00BA39F6">
        <w:rPr>
          <w:b/>
          <w:sz w:val="24"/>
          <w:szCs w:val="24"/>
        </w:rPr>
        <w:t>‘</w:t>
      </w:r>
      <w:r w:rsidRPr="00722C27">
        <w:rPr>
          <w:b/>
          <w:sz w:val="24"/>
          <w:szCs w:val="24"/>
        </w:rPr>
        <w:t xml:space="preserve">Application Support’ </w:t>
      </w:r>
      <w:r w:rsidRPr="00722C27">
        <w:rPr>
          <w:sz w:val="24"/>
          <w:szCs w:val="24"/>
        </w:rPr>
        <w:t>on</w:t>
      </w:r>
      <w:r w:rsidRPr="00722C27">
        <w:rPr>
          <w:b/>
          <w:sz w:val="24"/>
          <w:szCs w:val="24"/>
        </w:rPr>
        <w:t xml:space="preserve"> </w:t>
      </w:r>
      <w:r w:rsidRPr="008714A7">
        <w:rPr>
          <w:rFonts w:cs="Arial"/>
          <w:b/>
          <w:color w:val="222222"/>
          <w:sz w:val="24"/>
          <w:szCs w:val="24"/>
        </w:rPr>
        <w:t>01732 875694</w:t>
      </w:r>
      <w:r w:rsidRPr="00722C27">
        <w:rPr>
          <w:b/>
          <w:sz w:val="24"/>
          <w:szCs w:val="24"/>
        </w:rPr>
        <w:t>.</w:t>
      </w:r>
      <w:proofErr w:type="gramEnd"/>
      <w:r w:rsidRPr="00722C27">
        <w:rPr>
          <w:b/>
          <w:sz w:val="24"/>
          <w:szCs w:val="24"/>
        </w:rPr>
        <w:t xml:space="preserve"> </w:t>
      </w:r>
    </w:p>
    <w:p w:rsidR="008D2134" w:rsidRDefault="00E12B58" w:rsidP="006D0BB0">
      <w:pPr>
        <w:jc w:val="both"/>
        <w:rPr>
          <w:rFonts w:cs="Times New Roman"/>
          <w:sz w:val="24"/>
          <w:szCs w:val="24"/>
        </w:rPr>
      </w:pPr>
      <w:r>
        <w:rPr>
          <w:rFonts w:cs="Times New Roman"/>
          <w:sz w:val="24"/>
          <w:szCs w:val="24"/>
        </w:rPr>
        <w:t xml:space="preserve">The following are accepted as </w:t>
      </w:r>
      <w:r w:rsidR="00BA1463">
        <w:rPr>
          <w:rFonts w:cs="Times New Roman"/>
          <w:sz w:val="24"/>
          <w:szCs w:val="24"/>
        </w:rPr>
        <w:t>criteria for admission</w:t>
      </w:r>
      <w:r>
        <w:rPr>
          <w:rFonts w:cs="Times New Roman"/>
          <w:sz w:val="24"/>
          <w:szCs w:val="24"/>
        </w:rPr>
        <w:t>, although each individual case will be considered</w:t>
      </w:r>
      <w:r w:rsidR="008714A7">
        <w:rPr>
          <w:rFonts w:cs="Times New Roman"/>
          <w:sz w:val="24"/>
          <w:szCs w:val="24"/>
        </w:rPr>
        <w:t xml:space="preserve"> carefully</w:t>
      </w:r>
      <w:r>
        <w:rPr>
          <w:rFonts w:cs="Times New Roman"/>
          <w:sz w:val="24"/>
          <w:szCs w:val="24"/>
        </w:rPr>
        <w:t>:</w:t>
      </w:r>
    </w:p>
    <w:p w:rsidR="008D2134" w:rsidRPr="00722C27" w:rsidRDefault="006D7715" w:rsidP="00722C27">
      <w:pPr>
        <w:pStyle w:val="ListParagraph"/>
        <w:numPr>
          <w:ilvl w:val="0"/>
          <w:numId w:val="14"/>
        </w:numPr>
        <w:jc w:val="both"/>
        <w:rPr>
          <w:rFonts w:cs="Times New Roman"/>
          <w:sz w:val="24"/>
          <w:szCs w:val="24"/>
        </w:rPr>
      </w:pPr>
      <w:proofErr w:type="gramStart"/>
      <w:r>
        <w:rPr>
          <w:rFonts w:cs="Times New Roman"/>
          <w:sz w:val="24"/>
          <w:szCs w:val="24"/>
        </w:rPr>
        <w:t>medical</w:t>
      </w:r>
      <w:proofErr w:type="gramEnd"/>
      <w:r w:rsidRPr="00722C27">
        <w:rPr>
          <w:rFonts w:cs="Times New Roman"/>
          <w:sz w:val="24"/>
          <w:szCs w:val="24"/>
        </w:rPr>
        <w:t xml:space="preserve"> </w:t>
      </w:r>
      <w:r w:rsidR="00E12B58" w:rsidRPr="00722C27">
        <w:rPr>
          <w:rFonts w:cs="Times New Roman"/>
          <w:sz w:val="24"/>
          <w:szCs w:val="24"/>
        </w:rPr>
        <w:t>needs are such that the young person has missed 15 consecutive days of schooling.</w:t>
      </w:r>
    </w:p>
    <w:p w:rsidR="008D2134" w:rsidRPr="00722C27" w:rsidRDefault="006D7715" w:rsidP="00722C27">
      <w:pPr>
        <w:pStyle w:val="ListParagraph"/>
        <w:numPr>
          <w:ilvl w:val="0"/>
          <w:numId w:val="14"/>
        </w:numPr>
        <w:jc w:val="both"/>
        <w:rPr>
          <w:rFonts w:cs="Times New Roman"/>
          <w:sz w:val="24"/>
          <w:szCs w:val="24"/>
        </w:rPr>
      </w:pPr>
      <w:proofErr w:type="gramStart"/>
      <w:r>
        <w:rPr>
          <w:rFonts w:cs="Times New Roman"/>
          <w:sz w:val="24"/>
          <w:szCs w:val="24"/>
        </w:rPr>
        <w:t>the</w:t>
      </w:r>
      <w:proofErr w:type="gramEnd"/>
      <w:r w:rsidRPr="00722C27">
        <w:rPr>
          <w:rFonts w:cs="Times New Roman"/>
          <w:sz w:val="24"/>
          <w:szCs w:val="24"/>
        </w:rPr>
        <w:t xml:space="preserve"> </w:t>
      </w:r>
      <w:r w:rsidR="00E12B58" w:rsidRPr="00722C27">
        <w:rPr>
          <w:rFonts w:cs="Times New Roman"/>
          <w:sz w:val="24"/>
          <w:szCs w:val="24"/>
        </w:rPr>
        <w:t>young person</w:t>
      </w:r>
      <w:r w:rsidR="0090677E">
        <w:rPr>
          <w:rFonts w:cs="Times New Roman"/>
          <w:sz w:val="24"/>
          <w:szCs w:val="24"/>
        </w:rPr>
        <w:t>’s</w:t>
      </w:r>
      <w:r w:rsidR="00E12B58" w:rsidRPr="00722C27">
        <w:rPr>
          <w:rFonts w:cs="Times New Roman"/>
          <w:sz w:val="24"/>
          <w:szCs w:val="24"/>
        </w:rPr>
        <w:t xml:space="preserve"> health has significantly reduced their ability to access their home school and this is reflected in their attendance record.</w:t>
      </w:r>
    </w:p>
    <w:p w:rsidR="008D2134" w:rsidRPr="00722C27" w:rsidRDefault="006D7715" w:rsidP="00722C27">
      <w:pPr>
        <w:pStyle w:val="ListParagraph"/>
        <w:numPr>
          <w:ilvl w:val="0"/>
          <w:numId w:val="14"/>
        </w:numPr>
        <w:jc w:val="both"/>
        <w:rPr>
          <w:rFonts w:cs="Times New Roman"/>
          <w:sz w:val="24"/>
          <w:szCs w:val="24"/>
        </w:rPr>
      </w:pPr>
      <w:proofErr w:type="gramStart"/>
      <w:r>
        <w:rPr>
          <w:rFonts w:cs="Times New Roman"/>
          <w:sz w:val="24"/>
          <w:szCs w:val="24"/>
        </w:rPr>
        <w:t>a</w:t>
      </w:r>
      <w:proofErr w:type="gramEnd"/>
      <w:r>
        <w:rPr>
          <w:rFonts w:cs="Times New Roman"/>
          <w:sz w:val="24"/>
          <w:szCs w:val="24"/>
        </w:rPr>
        <w:t xml:space="preserve"> </w:t>
      </w:r>
      <w:r w:rsidR="00E12B58" w:rsidRPr="00722C27">
        <w:rPr>
          <w:rFonts w:cs="Times New Roman"/>
          <w:sz w:val="24"/>
          <w:szCs w:val="24"/>
        </w:rPr>
        <w:t xml:space="preserve">senior medical professional (such as a consultant, CAMHS practitioner </w:t>
      </w:r>
      <w:proofErr w:type="spellStart"/>
      <w:r w:rsidR="00E12B58" w:rsidRPr="00722C27">
        <w:rPr>
          <w:rFonts w:cs="Times New Roman"/>
          <w:sz w:val="24"/>
          <w:szCs w:val="24"/>
        </w:rPr>
        <w:t>etc</w:t>
      </w:r>
      <w:proofErr w:type="spellEnd"/>
      <w:r w:rsidR="00E12B58" w:rsidRPr="00722C27">
        <w:rPr>
          <w:rFonts w:cs="Times New Roman"/>
          <w:sz w:val="24"/>
          <w:szCs w:val="24"/>
        </w:rPr>
        <w:t xml:space="preserve">) is providing support, diagnosis and/or advice. </w:t>
      </w:r>
      <w:r w:rsidR="00E12B58" w:rsidRPr="00722C27">
        <w:rPr>
          <w:sz w:val="24"/>
          <w:szCs w:val="24"/>
        </w:rPr>
        <w:t>This applies to pupils whose cases are managed by hospitals within Kent as well as in more specialist hospitals in London and across the country. (note: GP referral is not sufficient)</w:t>
      </w:r>
    </w:p>
    <w:p w:rsidR="008D2134" w:rsidRPr="00722C27" w:rsidRDefault="006D7715" w:rsidP="00722C27">
      <w:pPr>
        <w:pStyle w:val="ListParagraph"/>
        <w:numPr>
          <w:ilvl w:val="0"/>
          <w:numId w:val="14"/>
        </w:numPr>
        <w:jc w:val="both"/>
        <w:rPr>
          <w:rFonts w:cs="Times New Roman"/>
          <w:sz w:val="24"/>
          <w:szCs w:val="24"/>
        </w:rPr>
      </w:pPr>
      <w:proofErr w:type="gramStart"/>
      <w:r>
        <w:rPr>
          <w:rFonts w:cs="Times New Roman"/>
          <w:sz w:val="24"/>
          <w:szCs w:val="24"/>
        </w:rPr>
        <w:t>a</w:t>
      </w:r>
      <w:proofErr w:type="gramEnd"/>
      <w:r>
        <w:rPr>
          <w:rFonts w:cs="Times New Roman"/>
          <w:sz w:val="24"/>
          <w:szCs w:val="24"/>
        </w:rPr>
        <w:t xml:space="preserve"> </w:t>
      </w:r>
      <w:r w:rsidR="00E12B58" w:rsidRPr="00722C27">
        <w:rPr>
          <w:rFonts w:cs="Times New Roman"/>
          <w:sz w:val="24"/>
          <w:szCs w:val="24"/>
        </w:rPr>
        <w:t>change of medication may mean the young person requires increased medical review, intervention, support or flexibility to allow them to attend education.</w:t>
      </w:r>
    </w:p>
    <w:p w:rsidR="008D2134" w:rsidRPr="00722C27" w:rsidRDefault="006D7715" w:rsidP="00722C27">
      <w:pPr>
        <w:pStyle w:val="ListParagraph"/>
        <w:numPr>
          <w:ilvl w:val="0"/>
          <w:numId w:val="14"/>
        </w:numPr>
        <w:jc w:val="both"/>
        <w:rPr>
          <w:rFonts w:cs="Times New Roman"/>
          <w:sz w:val="24"/>
          <w:szCs w:val="24"/>
        </w:rPr>
      </w:pPr>
      <w:proofErr w:type="gramStart"/>
      <w:r>
        <w:rPr>
          <w:rFonts w:cs="Times New Roman"/>
          <w:sz w:val="24"/>
          <w:szCs w:val="24"/>
        </w:rPr>
        <w:t>a</w:t>
      </w:r>
      <w:r w:rsidR="00BA1463">
        <w:rPr>
          <w:rFonts w:cs="Times New Roman"/>
          <w:sz w:val="24"/>
          <w:szCs w:val="24"/>
        </w:rPr>
        <w:t>n</w:t>
      </w:r>
      <w:proofErr w:type="gramEnd"/>
      <w:r w:rsidR="00BA1463">
        <w:rPr>
          <w:rFonts w:cs="Times New Roman"/>
          <w:sz w:val="24"/>
          <w:szCs w:val="24"/>
        </w:rPr>
        <w:t xml:space="preserve"> </w:t>
      </w:r>
      <w:r w:rsidR="00E12B58" w:rsidRPr="00722C27">
        <w:rPr>
          <w:rFonts w:cs="Times New Roman"/>
          <w:sz w:val="24"/>
          <w:szCs w:val="24"/>
        </w:rPr>
        <w:t>acute mental health condition is disrupting the young person’s/child’s ability to attend school.</w:t>
      </w:r>
    </w:p>
    <w:p w:rsidR="008D2134" w:rsidRPr="00AD56FD" w:rsidRDefault="006D7715" w:rsidP="00AD56FD">
      <w:pPr>
        <w:pStyle w:val="ListParagraph"/>
        <w:numPr>
          <w:ilvl w:val="0"/>
          <w:numId w:val="14"/>
        </w:numPr>
        <w:jc w:val="both"/>
        <w:rPr>
          <w:rFonts w:cs="Times New Roman"/>
          <w:sz w:val="24"/>
          <w:szCs w:val="24"/>
        </w:rPr>
      </w:pPr>
      <w:proofErr w:type="gramStart"/>
      <w:r>
        <w:rPr>
          <w:rFonts w:cs="Times New Roman"/>
          <w:sz w:val="24"/>
          <w:szCs w:val="24"/>
        </w:rPr>
        <w:t>a</w:t>
      </w:r>
      <w:proofErr w:type="gramEnd"/>
      <w:r w:rsidRPr="00722C27">
        <w:rPr>
          <w:rFonts w:cs="Times New Roman"/>
          <w:sz w:val="24"/>
          <w:szCs w:val="24"/>
        </w:rPr>
        <w:t xml:space="preserve"> </w:t>
      </w:r>
      <w:r w:rsidR="00E12B58" w:rsidRPr="00722C27">
        <w:rPr>
          <w:rFonts w:cs="Times New Roman"/>
          <w:sz w:val="24"/>
          <w:szCs w:val="24"/>
        </w:rPr>
        <w:t>young person has been discharged from tier 4 CAMHS services and requires on</w:t>
      </w:r>
      <w:r w:rsidR="0090677E">
        <w:rPr>
          <w:rFonts w:cs="Times New Roman"/>
          <w:sz w:val="24"/>
          <w:szCs w:val="24"/>
        </w:rPr>
        <w:t>-</w:t>
      </w:r>
      <w:r w:rsidR="00E12B58" w:rsidRPr="00722C27">
        <w:rPr>
          <w:rFonts w:cs="Times New Roman"/>
          <w:sz w:val="24"/>
          <w:szCs w:val="24"/>
        </w:rPr>
        <w:t>going support before re</w:t>
      </w:r>
      <w:r w:rsidR="008714A7">
        <w:rPr>
          <w:rFonts w:cs="Times New Roman"/>
          <w:sz w:val="24"/>
          <w:szCs w:val="24"/>
        </w:rPr>
        <w:t>-</w:t>
      </w:r>
      <w:r w:rsidR="00E12B58" w:rsidRPr="00722C27">
        <w:rPr>
          <w:rFonts w:cs="Times New Roman"/>
          <w:sz w:val="24"/>
          <w:szCs w:val="24"/>
        </w:rPr>
        <w:t>integration to school.</w:t>
      </w:r>
    </w:p>
    <w:p w:rsidR="008D2134" w:rsidRDefault="008D2134">
      <w:pPr>
        <w:jc w:val="both"/>
        <w:rPr>
          <w:rFonts w:cs="Times New Roman"/>
          <w:b/>
          <w:sz w:val="24"/>
          <w:szCs w:val="24"/>
        </w:rPr>
      </w:pPr>
    </w:p>
    <w:sectPr w:rsidR="008D213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3D9"/>
    <w:multiLevelType w:val="multilevel"/>
    <w:tmpl w:val="825A3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47115"/>
    <w:multiLevelType w:val="hybridMultilevel"/>
    <w:tmpl w:val="186E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E46BE1"/>
    <w:multiLevelType w:val="multilevel"/>
    <w:tmpl w:val="E6144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B67A48"/>
    <w:multiLevelType w:val="hybridMultilevel"/>
    <w:tmpl w:val="D46E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636D40"/>
    <w:multiLevelType w:val="hybridMultilevel"/>
    <w:tmpl w:val="17FA1B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34B25223"/>
    <w:multiLevelType w:val="hybridMultilevel"/>
    <w:tmpl w:val="9EC8F56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37587C9B"/>
    <w:multiLevelType w:val="hybridMultilevel"/>
    <w:tmpl w:val="3B68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DC41E6"/>
    <w:multiLevelType w:val="multilevel"/>
    <w:tmpl w:val="9FAE7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056357"/>
    <w:multiLevelType w:val="multilevel"/>
    <w:tmpl w:val="90B4B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6148C"/>
    <w:multiLevelType w:val="hybridMultilevel"/>
    <w:tmpl w:val="C32A99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95E28D2"/>
    <w:multiLevelType w:val="hybridMultilevel"/>
    <w:tmpl w:val="68F8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D568AB"/>
    <w:multiLevelType w:val="multilevel"/>
    <w:tmpl w:val="59F0A4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8E2BDA"/>
    <w:multiLevelType w:val="multilevel"/>
    <w:tmpl w:val="FACE7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EC519C"/>
    <w:multiLevelType w:val="multilevel"/>
    <w:tmpl w:val="30BC0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4"/>
  </w:num>
  <w:num w:numId="4">
    <w:abstractNumId w:val="11"/>
  </w:num>
  <w:num w:numId="5">
    <w:abstractNumId w:val="2"/>
  </w:num>
  <w:num w:numId="6">
    <w:abstractNumId w:val="0"/>
  </w:num>
  <w:num w:numId="7">
    <w:abstractNumId w:val="8"/>
  </w:num>
  <w:num w:numId="8">
    <w:abstractNumId w:val="7"/>
  </w:num>
  <w:num w:numId="9">
    <w:abstractNumId w:val="13"/>
  </w:num>
  <w:num w:numId="10">
    <w:abstractNumId w:val="12"/>
  </w:num>
  <w:num w:numId="11">
    <w:abstractNumId w:val="6"/>
  </w:num>
  <w:num w:numId="12">
    <w:abstractNumId w:val="10"/>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Dove">
    <w15:presenceInfo w15:providerId="Windows Live" w15:userId="ee042fc03071a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34"/>
    <w:rsid w:val="000C7685"/>
    <w:rsid w:val="001B42A5"/>
    <w:rsid w:val="001B7EE4"/>
    <w:rsid w:val="00214122"/>
    <w:rsid w:val="002460A6"/>
    <w:rsid w:val="00291085"/>
    <w:rsid w:val="002E5A5D"/>
    <w:rsid w:val="0032523B"/>
    <w:rsid w:val="0035234F"/>
    <w:rsid w:val="003F188B"/>
    <w:rsid w:val="00424EE4"/>
    <w:rsid w:val="00520F21"/>
    <w:rsid w:val="005B182F"/>
    <w:rsid w:val="005D19CD"/>
    <w:rsid w:val="005E7BA2"/>
    <w:rsid w:val="006D0BB0"/>
    <w:rsid w:val="006D7715"/>
    <w:rsid w:val="0070387B"/>
    <w:rsid w:val="00717332"/>
    <w:rsid w:val="00722192"/>
    <w:rsid w:val="00722C27"/>
    <w:rsid w:val="007907C5"/>
    <w:rsid w:val="007B7D9F"/>
    <w:rsid w:val="007E02EA"/>
    <w:rsid w:val="0080360B"/>
    <w:rsid w:val="00861D04"/>
    <w:rsid w:val="008714A7"/>
    <w:rsid w:val="008A2392"/>
    <w:rsid w:val="008D2134"/>
    <w:rsid w:val="0090677E"/>
    <w:rsid w:val="00AD56FD"/>
    <w:rsid w:val="00BA1463"/>
    <w:rsid w:val="00BA39F6"/>
    <w:rsid w:val="00BE6085"/>
    <w:rsid w:val="00C05835"/>
    <w:rsid w:val="00D34776"/>
    <w:rsid w:val="00D77A45"/>
    <w:rsid w:val="00D93775"/>
    <w:rsid w:val="00E12B58"/>
    <w:rsid w:val="00EC3C1C"/>
    <w:rsid w:val="00F14203"/>
    <w:rsid w:val="00F52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E451C65F</Template>
  <TotalTime>0</TotalTime>
  <Pages>3</Pages>
  <Words>933</Words>
  <Characters>5324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Dove</dc:creator>
  <cp:lastModifiedBy>Buxton, Celia - EY EQS</cp:lastModifiedBy>
  <cp:revision>2</cp:revision>
  <dcterms:created xsi:type="dcterms:W3CDTF">2015-09-24T14:07:00Z</dcterms:created>
  <dcterms:modified xsi:type="dcterms:W3CDTF">2015-09-24T14:07:00Z</dcterms:modified>
</cp:coreProperties>
</file>