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38A4F" w14:textId="77777777" w:rsidR="0063436D" w:rsidRPr="0063436D" w:rsidRDefault="0063436D" w:rsidP="0063436D">
      <w:pPr>
        <w:spacing w:after="0" w:line="240" w:lineRule="auto"/>
        <w:rPr>
          <w:rFonts w:eastAsia="Times New Roman"/>
          <w:sz w:val="24"/>
          <w:szCs w:val="20"/>
          <w:lang w:val="en-US"/>
        </w:rPr>
      </w:pPr>
      <w:bookmarkStart w:id="0" w:name="_GoBack"/>
      <w:bookmarkEnd w:id="0"/>
    </w:p>
    <w:p w14:paraId="293E044B" w14:textId="77777777" w:rsidR="0063436D" w:rsidRPr="00D16C25" w:rsidRDefault="00DB06F2" w:rsidP="0063436D">
      <w:pPr>
        <w:spacing w:after="120" w:line="240" w:lineRule="auto"/>
        <w:jc w:val="both"/>
        <w:rPr>
          <w:rFonts w:eastAsia="Times New Roman"/>
          <w:b/>
          <w:sz w:val="28"/>
          <w:szCs w:val="28"/>
          <w:lang w:val="en-US"/>
        </w:rPr>
      </w:pPr>
      <w:r w:rsidRPr="00D16C25">
        <w:rPr>
          <w:rFonts w:eastAsia="Times New Roman"/>
          <w:b/>
          <w:sz w:val="28"/>
          <w:szCs w:val="28"/>
          <w:lang w:val="en-US"/>
        </w:rPr>
        <w:t>Introduction</w:t>
      </w:r>
    </w:p>
    <w:p w14:paraId="4B377402" w14:textId="77777777" w:rsidR="0063436D" w:rsidRPr="0063436D" w:rsidRDefault="0063436D" w:rsidP="0063436D">
      <w:pPr>
        <w:spacing w:after="0" w:line="240" w:lineRule="auto"/>
        <w:jc w:val="both"/>
        <w:rPr>
          <w:rFonts w:eastAsia="Times New Roman"/>
          <w:sz w:val="24"/>
          <w:szCs w:val="20"/>
          <w:lang w:val="en-US"/>
        </w:rPr>
      </w:pPr>
    </w:p>
    <w:p w14:paraId="296A4480" w14:textId="77777777" w:rsidR="0063436D" w:rsidRPr="0063436D" w:rsidRDefault="0063436D" w:rsidP="0063436D">
      <w:pPr>
        <w:spacing w:after="0" w:line="240" w:lineRule="auto"/>
        <w:jc w:val="both"/>
        <w:rPr>
          <w:rFonts w:eastAsia="Times New Roman"/>
          <w:sz w:val="24"/>
          <w:szCs w:val="20"/>
          <w:lang w:val="en-US"/>
        </w:rPr>
      </w:pPr>
      <w:r w:rsidRPr="0063436D">
        <w:rPr>
          <w:rFonts w:eastAsia="Times New Roman"/>
          <w:sz w:val="24"/>
          <w:szCs w:val="20"/>
          <w:lang w:val="en-US"/>
        </w:rPr>
        <w:t xml:space="preserve">Under the </w:t>
      </w:r>
      <w:r w:rsidR="007B2C4A">
        <w:rPr>
          <w:rFonts w:eastAsia="Times New Roman"/>
          <w:sz w:val="24"/>
          <w:szCs w:val="20"/>
          <w:lang w:val="en-US"/>
        </w:rPr>
        <w:t>Equality Act 2010</w:t>
      </w:r>
      <w:r w:rsidRPr="0063436D">
        <w:rPr>
          <w:rFonts w:eastAsia="Times New Roman"/>
          <w:sz w:val="24"/>
          <w:szCs w:val="20"/>
          <w:lang w:val="en-US"/>
        </w:rPr>
        <w:t>, if disabled people could realistically be expected to use your premises, you must anticipate any reasonable adjustments that would make it easier for their right of safe access and egress to be exercised.  If disabled people are going to be in your premises then you must also provide safe means for them to leave if there is a fire.  From low risk office environments everyone should be able to reach a place of relative safety from an affected area within 3 minutes (a place of</w:t>
      </w:r>
      <w:r w:rsidR="00A27025">
        <w:rPr>
          <w:rFonts w:eastAsia="Times New Roman"/>
          <w:sz w:val="24"/>
          <w:szCs w:val="20"/>
          <w:lang w:val="en-US"/>
        </w:rPr>
        <w:t xml:space="preserve"> relative</w:t>
      </w:r>
      <w:r w:rsidRPr="0063436D">
        <w:rPr>
          <w:rFonts w:eastAsia="Times New Roman"/>
          <w:sz w:val="24"/>
          <w:szCs w:val="20"/>
          <w:lang w:val="en-US"/>
        </w:rPr>
        <w:t xml:space="preserve"> safety could be a fire protected stairwell or refuge). Those with disabilities may need assistance or special arrangements.</w:t>
      </w:r>
    </w:p>
    <w:p w14:paraId="6CD298D2" w14:textId="77777777" w:rsidR="0063436D" w:rsidRPr="0063436D" w:rsidRDefault="0063436D" w:rsidP="0063436D">
      <w:pPr>
        <w:spacing w:after="0" w:line="240" w:lineRule="auto"/>
        <w:jc w:val="both"/>
        <w:rPr>
          <w:rFonts w:eastAsia="Times New Roman"/>
          <w:sz w:val="20"/>
          <w:szCs w:val="20"/>
          <w:lang w:val="en-US"/>
        </w:rPr>
      </w:pPr>
    </w:p>
    <w:p w14:paraId="663DA493" w14:textId="77777777" w:rsidR="0063436D" w:rsidRPr="0063436D" w:rsidRDefault="0063436D" w:rsidP="0063436D">
      <w:pPr>
        <w:spacing w:after="0" w:line="240" w:lineRule="auto"/>
        <w:jc w:val="both"/>
        <w:rPr>
          <w:rFonts w:eastAsia="Times New Roman"/>
          <w:sz w:val="24"/>
          <w:szCs w:val="20"/>
          <w:lang w:val="en-US"/>
        </w:rPr>
      </w:pPr>
      <w:r w:rsidRPr="0063436D">
        <w:rPr>
          <w:rFonts w:eastAsia="Times New Roman"/>
          <w:sz w:val="24"/>
          <w:szCs w:val="20"/>
          <w:lang w:val="en-US"/>
        </w:rPr>
        <w:t>The range of disabilities encountered can be considerable. This could include:</w:t>
      </w:r>
    </w:p>
    <w:p w14:paraId="65DF9802" w14:textId="77777777" w:rsidR="0063436D" w:rsidRPr="0063436D" w:rsidRDefault="0063436D" w:rsidP="0063436D">
      <w:pPr>
        <w:spacing w:after="0" w:line="240" w:lineRule="auto"/>
        <w:jc w:val="both"/>
        <w:rPr>
          <w:rFonts w:eastAsia="Times New Roman"/>
          <w:sz w:val="24"/>
          <w:szCs w:val="20"/>
          <w:lang w:val="en-US"/>
        </w:rPr>
      </w:pPr>
    </w:p>
    <w:p w14:paraId="4DD76130" w14:textId="77777777" w:rsidR="0063436D" w:rsidRPr="00DB06F2" w:rsidRDefault="0063436D" w:rsidP="00DB06F2">
      <w:pPr>
        <w:pStyle w:val="ListParagraph"/>
        <w:numPr>
          <w:ilvl w:val="0"/>
          <w:numId w:val="41"/>
        </w:numPr>
        <w:spacing w:after="0" w:line="240" w:lineRule="auto"/>
        <w:jc w:val="both"/>
        <w:rPr>
          <w:rFonts w:eastAsia="Times New Roman"/>
          <w:sz w:val="24"/>
          <w:szCs w:val="20"/>
          <w:lang w:val="en-US"/>
        </w:rPr>
      </w:pPr>
      <w:r w:rsidRPr="00DB06F2">
        <w:rPr>
          <w:rFonts w:eastAsia="Times New Roman"/>
          <w:sz w:val="24"/>
          <w:szCs w:val="20"/>
          <w:lang w:val="en-US"/>
        </w:rPr>
        <w:t>wheelchair users</w:t>
      </w:r>
    </w:p>
    <w:p w14:paraId="5AB84DD2" w14:textId="77777777" w:rsidR="0063436D" w:rsidRPr="00DB06F2" w:rsidRDefault="0063436D" w:rsidP="00DB06F2">
      <w:pPr>
        <w:pStyle w:val="ListParagraph"/>
        <w:numPr>
          <w:ilvl w:val="0"/>
          <w:numId w:val="41"/>
        </w:numPr>
        <w:spacing w:after="0" w:line="240" w:lineRule="auto"/>
        <w:jc w:val="both"/>
        <w:rPr>
          <w:rFonts w:eastAsia="Times New Roman"/>
          <w:sz w:val="24"/>
          <w:szCs w:val="20"/>
          <w:lang w:val="en-US"/>
        </w:rPr>
      </w:pPr>
      <w:r w:rsidRPr="00DB06F2">
        <w:rPr>
          <w:rFonts w:eastAsia="Times New Roman"/>
          <w:sz w:val="24"/>
          <w:szCs w:val="20"/>
          <w:lang w:val="en-US"/>
        </w:rPr>
        <w:t>ambulant disability - disabled people who are able to walk but who may depend on the use of prosthesis (artificial limbs), orthoses (</w:t>
      </w:r>
      <w:proofErr w:type="spellStart"/>
      <w:r w:rsidRPr="00DB06F2">
        <w:rPr>
          <w:rFonts w:eastAsia="Times New Roman"/>
          <w:sz w:val="24"/>
          <w:szCs w:val="20"/>
          <w:lang w:val="en-US"/>
        </w:rPr>
        <w:t>callipers</w:t>
      </w:r>
      <w:proofErr w:type="spellEnd"/>
      <w:r w:rsidRPr="00DB06F2">
        <w:rPr>
          <w:rFonts w:eastAsia="Times New Roman"/>
          <w:sz w:val="24"/>
          <w:szCs w:val="20"/>
          <w:lang w:val="en-US"/>
        </w:rPr>
        <w:t>), sticks, crutches or other walking aids</w:t>
      </w:r>
    </w:p>
    <w:p w14:paraId="6B8E53E4" w14:textId="77777777" w:rsidR="0063436D" w:rsidRPr="00DB06F2" w:rsidRDefault="0063436D" w:rsidP="00DB06F2">
      <w:pPr>
        <w:pStyle w:val="ListParagraph"/>
        <w:numPr>
          <w:ilvl w:val="0"/>
          <w:numId w:val="41"/>
        </w:numPr>
        <w:spacing w:after="0" w:line="240" w:lineRule="auto"/>
        <w:jc w:val="both"/>
        <w:rPr>
          <w:rFonts w:eastAsia="Times New Roman"/>
          <w:sz w:val="24"/>
          <w:szCs w:val="20"/>
          <w:lang w:val="en-US"/>
        </w:rPr>
      </w:pPr>
      <w:r w:rsidRPr="00DB06F2">
        <w:rPr>
          <w:rFonts w:eastAsia="Times New Roman"/>
          <w:sz w:val="24"/>
          <w:szCs w:val="20"/>
          <w:lang w:val="en-US"/>
        </w:rPr>
        <w:t>sensory impairment - deaf or hard of hearing or a visual impairment</w:t>
      </w:r>
    </w:p>
    <w:p w14:paraId="4E355387" w14:textId="77777777" w:rsidR="0063436D" w:rsidRPr="00DB06F2" w:rsidRDefault="0063436D" w:rsidP="00DB06F2">
      <w:pPr>
        <w:pStyle w:val="ListParagraph"/>
        <w:numPr>
          <w:ilvl w:val="0"/>
          <w:numId w:val="41"/>
        </w:numPr>
        <w:spacing w:after="0" w:line="240" w:lineRule="auto"/>
        <w:jc w:val="both"/>
        <w:rPr>
          <w:rFonts w:eastAsia="Times New Roman"/>
          <w:sz w:val="24"/>
          <w:szCs w:val="20"/>
          <w:lang w:val="en-US"/>
        </w:rPr>
      </w:pPr>
      <w:r w:rsidRPr="00DB06F2">
        <w:rPr>
          <w:rFonts w:eastAsia="Times New Roman"/>
          <w:sz w:val="24"/>
          <w:szCs w:val="20"/>
          <w:lang w:val="en-US"/>
        </w:rPr>
        <w:t>physical impairment - using a wheelchair or difficulty using their arms or legs</w:t>
      </w:r>
    </w:p>
    <w:p w14:paraId="6ED24C10" w14:textId="77777777" w:rsidR="0063436D" w:rsidRPr="00DB06F2" w:rsidRDefault="0063436D" w:rsidP="00DB06F2">
      <w:pPr>
        <w:pStyle w:val="ListParagraph"/>
        <w:numPr>
          <w:ilvl w:val="0"/>
          <w:numId w:val="41"/>
        </w:numPr>
        <w:spacing w:after="0" w:line="240" w:lineRule="auto"/>
        <w:jc w:val="both"/>
        <w:rPr>
          <w:rFonts w:eastAsia="Times New Roman"/>
          <w:sz w:val="24"/>
          <w:szCs w:val="20"/>
          <w:lang w:val="en-US"/>
        </w:rPr>
      </w:pPr>
      <w:r w:rsidRPr="00DB06F2">
        <w:rPr>
          <w:rFonts w:eastAsia="Times New Roman"/>
          <w:sz w:val="24"/>
          <w:szCs w:val="20"/>
          <w:lang w:val="en-US"/>
        </w:rPr>
        <w:t>mental health conditions and learning disabilities</w:t>
      </w:r>
    </w:p>
    <w:p w14:paraId="14BD02D8" w14:textId="77777777" w:rsidR="0063436D" w:rsidRPr="00DB06F2" w:rsidRDefault="0063436D" w:rsidP="00DB06F2">
      <w:pPr>
        <w:pStyle w:val="ListParagraph"/>
        <w:numPr>
          <w:ilvl w:val="0"/>
          <w:numId w:val="41"/>
        </w:numPr>
        <w:spacing w:after="0" w:line="240" w:lineRule="auto"/>
        <w:jc w:val="both"/>
        <w:rPr>
          <w:rFonts w:eastAsia="Times New Roman"/>
          <w:sz w:val="24"/>
          <w:szCs w:val="20"/>
          <w:lang w:val="en-US"/>
        </w:rPr>
      </w:pPr>
      <w:r w:rsidRPr="00DB06F2">
        <w:rPr>
          <w:rFonts w:eastAsia="Times New Roman"/>
          <w:sz w:val="24"/>
          <w:szCs w:val="20"/>
          <w:lang w:val="en-US"/>
        </w:rPr>
        <w:t xml:space="preserve">recovery from operations or recent injuries </w:t>
      </w:r>
    </w:p>
    <w:p w14:paraId="3222C3DA" w14:textId="77777777" w:rsidR="0063436D" w:rsidRPr="00DB06F2" w:rsidRDefault="0063436D" w:rsidP="00DB06F2">
      <w:pPr>
        <w:pStyle w:val="ListParagraph"/>
        <w:numPr>
          <w:ilvl w:val="0"/>
          <w:numId w:val="41"/>
        </w:numPr>
        <w:spacing w:after="0" w:line="240" w:lineRule="auto"/>
        <w:jc w:val="both"/>
        <w:rPr>
          <w:rFonts w:eastAsia="Times New Roman"/>
          <w:sz w:val="24"/>
          <w:szCs w:val="20"/>
          <w:lang w:val="en-US"/>
        </w:rPr>
      </w:pPr>
      <w:r w:rsidRPr="00DB06F2">
        <w:rPr>
          <w:rFonts w:eastAsia="Times New Roman"/>
          <w:sz w:val="24"/>
          <w:szCs w:val="20"/>
          <w:lang w:val="en-US"/>
        </w:rPr>
        <w:t>potentially vulnerable people e.g. pregnant women</w:t>
      </w:r>
    </w:p>
    <w:p w14:paraId="7AC0628D" w14:textId="77777777" w:rsidR="0063436D" w:rsidRPr="00DB06F2" w:rsidRDefault="0063436D" w:rsidP="00DB06F2">
      <w:pPr>
        <w:pStyle w:val="ListParagraph"/>
        <w:numPr>
          <w:ilvl w:val="0"/>
          <w:numId w:val="41"/>
        </w:numPr>
        <w:spacing w:after="0" w:line="240" w:lineRule="auto"/>
        <w:jc w:val="both"/>
        <w:rPr>
          <w:rFonts w:eastAsia="Times New Roman"/>
          <w:sz w:val="24"/>
          <w:szCs w:val="20"/>
          <w:lang w:val="en-US"/>
        </w:rPr>
      </w:pPr>
      <w:r w:rsidRPr="00DB06F2">
        <w:rPr>
          <w:rFonts w:eastAsia="Times New Roman"/>
          <w:sz w:val="24"/>
          <w:szCs w:val="20"/>
          <w:lang w:val="en-US"/>
        </w:rPr>
        <w:t>long standing health conditions or ill health e.g. epilepsy, diabetes</w:t>
      </w:r>
    </w:p>
    <w:p w14:paraId="4191ABB1" w14:textId="77777777" w:rsidR="0063436D" w:rsidRPr="0063436D" w:rsidRDefault="0063436D" w:rsidP="0063436D">
      <w:pPr>
        <w:spacing w:after="0" w:line="240" w:lineRule="auto"/>
        <w:jc w:val="both"/>
        <w:rPr>
          <w:rFonts w:eastAsia="Times New Roman"/>
          <w:sz w:val="20"/>
          <w:szCs w:val="20"/>
          <w:lang w:val="en-US"/>
        </w:rPr>
      </w:pPr>
    </w:p>
    <w:tbl>
      <w:tblPr>
        <w:tblW w:w="0" w:type="auto"/>
        <w:tblLayout w:type="fixed"/>
        <w:tblLook w:val="0000" w:firstRow="0" w:lastRow="0" w:firstColumn="0" w:lastColumn="0" w:noHBand="0" w:noVBand="0"/>
      </w:tblPr>
      <w:tblGrid>
        <w:gridCol w:w="9462"/>
      </w:tblGrid>
      <w:tr w:rsidR="00DB06F2" w:rsidRPr="0063436D" w14:paraId="6A333149" w14:textId="77777777" w:rsidTr="003124C2">
        <w:tc>
          <w:tcPr>
            <w:tcW w:w="9462" w:type="dxa"/>
          </w:tcPr>
          <w:p w14:paraId="0C747182" w14:textId="7389A7D9" w:rsidR="00DB06F2" w:rsidRPr="00DB06F2" w:rsidRDefault="00DB06F2" w:rsidP="00DB06F2">
            <w:pPr>
              <w:spacing w:after="0" w:line="240" w:lineRule="auto"/>
              <w:jc w:val="both"/>
              <w:rPr>
                <w:rFonts w:eastAsia="Times New Roman"/>
                <w:sz w:val="24"/>
                <w:szCs w:val="20"/>
                <w:lang w:val="en-US"/>
              </w:rPr>
            </w:pPr>
            <w:r w:rsidRPr="00DB06F2">
              <w:rPr>
                <w:rFonts w:eastAsia="Times New Roman"/>
                <w:sz w:val="24"/>
                <w:szCs w:val="20"/>
                <w:lang w:val="en-US"/>
              </w:rPr>
              <w:t xml:space="preserve">Where people with special needs use or work in the premises, their needs should, so far, as is practicable, be discussed with them.  In some cases </w:t>
            </w:r>
            <w:proofErr w:type="gramStart"/>
            <w:r w:rsidRPr="00DB06F2">
              <w:rPr>
                <w:rFonts w:eastAsia="Times New Roman"/>
                <w:sz w:val="24"/>
                <w:szCs w:val="20"/>
                <w:lang w:val="en-US"/>
              </w:rPr>
              <w:t xml:space="preserve">a </w:t>
            </w:r>
            <w:r w:rsidR="004851B9">
              <w:rPr>
                <w:rFonts w:eastAsia="Times New Roman"/>
                <w:sz w:val="24"/>
                <w:szCs w:val="20"/>
                <w:lang w:val="en-US"/>
              </w:rPr>
              <w:t xml:space="preserve"> person</w:t>
            </w:r>
            <w:proofErr w:type="gramEnd"/>
            <w:r w:rsidR="004851B9">
              <w:rPr>
                <w:rFonts w:eastAsia="Times New Roman"/>
                <w:sz w:val="24"/>
                <w:szCs w:val="20"/>
                <w:lang w:val="en-US"/>
              </w:rPr>
              <w:t xml:space="preserve"> with a disability</w:t>
            </w:r>
            <w:r w:rsidRPr="00DB06F2">
              <w:rPr>
                <w:rFonts w:eastAsia="Times New Roman"/>
                <w:sz w:val="24"/>
                <w:szCs w:val="20"/>
                <w:lang w:val="en-US"/>
              </w:rPr>
              <w:t xml:space="preserve"> may need to have a written Personal Emergency Evacuation Plan (PEEP) to enable them to leave the building safely in an emergency. This guidance is provided for those managers responsible for ensuring the safety of people</w:t>
            </w:r>
            <w:r w:rsidR="004851B9">
              <w:rPr>
                <w:rFonts w:eastAsia="Times New Roman"/>
                <w:sz w:val="24"/>
                <w:szCs w:val="20"/>
                <w:lang w:val="en-US"/>
              </w:rPr>
              <w:t xml:space="preserve"> with disabilities</w:t>
            </w:r>
            <w:r w:rsidRPr="00DB06F2">
              <w:rPr>
                <w:rFonts w:eastAsia="Times New Roman"/>
                <w:sz w:val="24"/>
                <w:szCs w:val="20"/>
                <w:lang w:val="en-US"/>
              </w:rPr>
              <w:t xml:space="preserve"> using the building in the event of a fire. </w:t>
            </w:r>
          </w:p>
        </w:tc>
      </w:tr>
      <w:tr w:rsidR="00DB06F2" w:rsidRPr="0063436D" w14:paraId="3A32D267" w14:textId="77777777" w:rsidTr="003124C2">
        <w:tc>
          <w:tcPr>
            <w:tcW w:w="9462" w:type="dxa"/>
          </w:tcPr>
          <w:p w14:paraId="48F6AC0A" w14:textId="77777777" w:rsidR="00DB06F2" w:rsidRPr="00DB06F2" w:rsidRDefault="00DB06F2" w:rsidP="00DB06F2">
            <w:pPr>
              <w:spacing w:after="0" w:line="240" w:lineRule="auto"/>
              <w:ind w:left="60"/>
              <w:jc w:val="both"/>
              <w:rPr>
                <w:rFonts w:eastAsia="Times New Roman"/>
                <w:sz w:val="20"/>
                <w:szCs w:val="20"/>
                <w:lang w:val="en-US"/>
              </w:rPr>
            </w:pPr>
          </w:p>
        </w:tc>
      </w:tr>
      <w:tr w:rsidR="00DB06F2" w:rsidRPr="0063436D" w14:paraId="0858885D" w14:textId="77777777" w:rsidTr="003124C2">
        <w:tc>
          <w:tcPr>
            <w:tcW w:w="9462" w:type="dxa"/>
          </w:tcPr>
          <w:p w14:paraId="4ABE79EE" w14:textId="77777777" w:rsidR="00DB06F2" w:rsidRPr="00DB06F2" w:rsidRDefault="00DB06F2" w:rsidP="007B2C4A">
            <w:pPr>
              <w:spacing w:after="0" w:line="240" w:lineRule="auto"/>
              <w:jc w:val="both"/>
              <w:rPr>
                <w:rFonts w:eastAsia="Times New Roman"/>
                <w:sz w:val="24"/>
                <w:szCs w:val="20"/>
                <w:lang w:val="en-US"/>
              </w:rPr>
            </w:pPr>
            <w:r w:rsidRPr="00DB06F2">
              <w:rPr>
                <w:rFonts w:eastAsia="Times New Roman"/>
                <w:sz w:val="24"/>
                <w:szCs w:val="20"/>
                <w:lang w:val="en-US"/>
              </w:rPr>
              <w:t xml:space="preserve">The </w:t>
            </w:r>
            <w:r w:rsidR="007B2C4A">
              <w:rPr>
                <w:rFonts w:eastAsia="Times New Roman"/>
                <w:sz w:val="24"/>
                <w:szCs w:val="20"/>
                <w:lang w:val="en-US"/>
              </w:rPr>
              <w:t xml:space="preserve">Equality Act 2010 </w:t>
            </w:r>
            <w:r w:rsidRPr="00DB06F2">
              <w:rPr>
                <w:rFonts w:eastAsia="Times New Roman"/>
                <w:sz w:val="24"/>
                <w:szCs w:val="20"/>
                <w:lang w:val="en-US"/>
              </w:rPr>
              <w:t>includes the concept of ‘reasonable adjustments’ and this can be carried over into fire safety law.  Building managers will need to make judgements of what actions are reasonable and proportionate in the circumstances of each case when considering the costs and risks involved with making such adjustments.</w:t>
            </w:r>
          </w:p>
        </w:tc>
      </w:tr>
      <w:tr w:rsidR="00DB06F2" w:rsidRPr="0063436D" w14:paraId="4B95C75B" w14:textId="77777777" w:rsidTr="003124C2">
        <w:tc>
          <w:tcPr>
            <w:tcW w:w="9462" w:type="dxa"/>
          </w:tcPr>
          <w:p w14:paraId="477416A6" w14:textId="77777777" w:rsidR="00DB06F2" w:rsidRPr="00DB06F2" w:rsidRDefault="00DB06F2" w:rsidP="00DB06F2">
            <w:pPr>
              <w:spacing w:after="0" w:line="240" w:lineRule="auto"/>
              <w:ind w:left="60"/>
              <w:jc w:val="both"/>
              <w:rPr>
                <w:rFonts w:eastAsia="Times New Roman"/>
                <w:sz w:val="20"/>
                <w:szCs w:val="20"/>
                <w:lang w:val="en-US"/>
              </w:rPr>
            </w:pPr>
          </w:p>
        </w:tc>
      </w:tr>
      <w:tr w:rsidR="00DB06F2" w:rsidRPr="0063436D" w14:paraId="416FA944" w14:textId="77777777" w:rsidTr="003124C2">
        <w:tc>
          <w:tcPr>
            <w:tcW w:w="9462" w:type="dxa"/>
          </w:tcPr>
          <w:p w14:paraId="4FCE76B7" w14:textId="223556D6" w:rsidR="00F620AA" w:rsidRDefault="00DB06F2" w:rsidP="0095435B">
            <w:pPr>
              <w:spacing w:after="0" w:line="240" w:lineRule="auto"/>
              <w:ind w:left="60"/>
              <w:rPr>
                <w:rFonts w:eastAsia="Times New Roman"/>
                <w:sz w:val="24"/>
                <w:szCs w:val="20"/>
                <w:lang w:val="en-US"/>
              </w:rPr>
            </w:pPr>
            <w:r w:rsidRPr="00DB06F2">
              <w:rPr>
                <w:rFonts w:eastAsia="Times New Roman"/>
                <w:sz w:val="24"/>
                <w:szCs w:val="20"/>
                <w:lang w:val="en-US"/>
              </w:rPr>
              <w:t>Building evacuation policies must include the anticipation of the needs of people</w:t>
            </w:r>
            <w:r w:rsidR="008D1D52">
              <w:rPr>
                <w:rFonts w:eastAsia="Times New Roman"/>
                <w:sz w:val="24"/>
                <w:szCs w:val="20"/>
                <w:lang w:val="en-US"/>
              </w:rPr>
              <w:t xml:space="preserve"> with disabilities</w:t>
            </w:r>
            <w:r w:rsidRPr="00DB06F2">
              <w:rPr>
                <w:rFonts w:eastAsia="Times New Roman"/>
                <w:sz w:val="24"/>
                <w:szCs w:val="20"/>
                <w:lang w:val="en-US"/>
              </w:rPr>
              <w:t xml:space="preserve"> and relate to the contents of the access statement</w:t>
            </w:r>
            <w:r w:rsidR="00AD14CB">
              <w:rPr>
                <w:rFonts w:eastAsia="Times New Roman"/>
                <w:sz w:val="24"/>
                <w:szCs w:val="20"/>
                <w:lang w:val="en-US"/>
              </w:rPr>
              <w:t xml:space="preserve"> (</w:t>
            </w:r>
            <w:r w:rsidR="00F620AA">
              <w:rPr>
                <w:rFonts w:eastAsia="Times New Roman"/>
                <w:sz w:val="24"/>
                <w:szCs w:val="20"/>
                <w:lang w:val="en-US"/>
              </w:rPr>
              <w:t>newer buildings only)</w:t>
            </w:r>
            <w:r w:rsidRPr="00DB06F2">
              <w:rPr>
                <w:rFonts w:eastAsia="Times New Roman"/>
                <w:sz w:val="24"/>
                <w:szCs w:val="20"/>
                <w:lang w:val="en-US"/>
              </w:rPr>
              <w:t>. All access statements</w:t>
            </w:r>
            <w:r w:rsidR="00F620AA">
              <w:rPr>
                <w:rFonts w:eastAsia="Times New Roman"/>
                <w:sz w:val="24"/>
                <w:szCs w:val="20"/>
                <w:lang w:val="en-US"/>
              </w:rPr>
              <w:t>, normally submitted with planning applications,</w:t>
            </w:r>
            <w:r w:rsidRPr="00DB06F2">
              <w:rPr>
                <w:rFonts w:eastAsia="Times New Roman"/>
                <w:sz w:val="24"/>
                <w:szCs w:val="20"/>
                <w:lang w:val="en-US"/>
              </w:rPr>
              <w:t xml:space="preserve"> must include information on the design and anticipated</w:t>
            </w:r>
            <w:r w:rsidR="00F620AA">
              <w:rPr>
                <w:rFonts w:eastAsia="Times New Roman"/>
                <w:sz w:val="24"/>
                <w:szCs w:val="20"/>
                <w:lang w:val="en-US"/>
              </w:rPr>
              <w:t xml:space="preserve"> access</w:t>
            </w:r>
            <w:r w:rsidRPr="00DB06F2">
              <w:rPr>
                <w:rFonts w:eastAsia="Times New Roman"/>
                <w:sz w:val="24"/>
                <w:szCs w:val="20"/>
                <w:lang w:val="en-US"/>
              </w:rPr>
              <w:t xml:space="preserve"> arrangements </w:t>
            </w:r>
            <w:r w:rsidR="00F620AA">
              <w:rPr>
                <w:rFonts w:eastAsia="Times New Roman"/>
                <w:sz w:val="24"/>
                <w:szCs w:val="20"/>
                <w:lang w:val="en-US"/>
              </w:rPr>
              <w:t>for</w:t>
            </w:r>
            <w:r w:rsidR="00F620AA" w:rsidRPr="00DB06F2">
              <w:rPr>
                <w:rFonts w:eastAsia="Times New Roman"/>
                <w:sz w:val="24"/>
                <w:szCs w:val="20"/>
                <w:lang w:val="en-US"/>
              </w:rPr>
              <w:t xml:space="preserve"> </w:t>
            </w:r>
            <w:r w:rsidRPr="00DB06F2">
              <w:rPr>
                <w:rFonts w:eastAsia="Times New Roman"/>
                <w:sz w:val="24"/>
                <w:szCs w:val="20"/>
                <w:lang w:val="en-US"/>
              </w:rPr>
              <w:t>the building or location</w:t>
            </w:r>
            <w:r w:rsidR="00F620AA">
              <w:rPr>
                <w:rFonts w:eastAsia="Times New Roman"/>
                <w:sz w:val="24"/>
                <w:szCs w:val="20"/>
                <w:lang w:val="en-US"/>
              </w:rPr>
              <w:t>.</w:t>
            </w:r>
          </w:p>
          <w:p w14:paraId="45C66ABB" w14:textId="77777777" w:rsidR="005E0543" w:rsidRDefault="005E0543" w:rsidP="0095435B">
            <w:pPr>
              <w:spacing w:after="0" w:line="240" w:lineRule="auto"/>
              <w:ind w:left="60"/>
              <w:rPr>
                <w:rFonts w:eastAsia="Times New Roman"/>
                <w:sz w:val="24"/>
                <w:szCs w:val="20"/>
                <w:lang w:val="en-US"/>
              </w:rPr>
            </w:pPr>
          </w:p>
          <w:p w14:paraId="67F9557B" w14:textId="77777777" w:rsidR="005E0543" w:rsidRPr="005E0543" w:rsidRDefault="005E0543" w:rsidP="0095435B">
            <w:pPr>
              <w:spacing w:after="0" w:line="240" w:lineRule="auto"/>
              <w:ind w:left="60"/>
              <w:rPr>
                <w:rFonts w:eastAsia="Times New Roman"/>
                <w:b/>
                <w:sz w:val="28"/>
                <w:szCs w:val="28"/>
                <w:lang w:val="en-US"/>
              </w:rPr>
            </w:pPr>
            <w:r w:rsidRPr="005E0543">
              <w:rPr>
                <w:rFonts w:eastAsia="Times New Roman"/>
                <w:b/>
                <w:sz w:val="28"/>
                <w:szCs w:val="28"/>
                <w:lang w:val="en-US"/>
              </w:rPr>
              <w:t>Responsibilities</w:t>
            </w:r>
          </w:p>
          <w:p w14:paraId="63514FCF" w14:textId="77777777" w:rsidR="005E0543" w:rsidRPr="00DB06F2" w:rsidRDefault="005E0543" w:rsidP="0095435B">
            <w:pPr>
              <w:spacing w:after="0" w:line="240" w:lineRule="auto"/>
              <w:ind w:left="60"/>
              <w:rPr>
                <w:rFonts w:eastAsia="Times New Roman"/>
                <w:sz w:val="24"/>
                <w:szCs w:val="20"/>
                <w:lang w:val="en-US"/>
              </w:rPr>
            </w:pPr>
          </w:p>
        </w:tc>
      </w:tr>
    </w:tbl>
    <w:p w14:paraId="73BD7336" w14:textId="77777777" w:rsidR="0063436D" w:rsidRPr="0063436D" w:rsidRDefault="0063436D" w:rsidP="0095435B">
      <w:pPr>
        <w:spacing w:after="120" w:line="240" w:lineRule="auto"/>
        <w:rPr>
          <w:rFonts w:eastAsia="Times New Roman"/>
          <w:sz w:val="24"/>
          <w:szCs w:val="20"/>
          <w:lang w:val="en-US"/>
        </w:rPr>
      </w:pPr>
      <w:r w:rsidRPr="0063436D">
        <w:rPr>
          <w:rFonts w:eastAsia="Times New Roman"/>
          <w:sz w:val="24"/>
          <w:szCs w:val="20"/>
          <w:lang w:val="en-US"/>
        </w:rPr>
        <w:t>The building manager (on behalf of the occupier) is responsible for ensuring all occupants can leave the building safely.  The building manager must:</w:t>
      </w:r>
    </w:p>
    <w:p w14:paraId="45F9D2D5" w14:textId="03A7CCF6" w:rsidR="0063436D" w:rsidRDefault="0063436D" w:rsidP="0063436D">
      <w:pPr>
        <w:spacing w:after="0" w:line="240" w:lineRule="auto"/>
        <w:jc w:val="both"/>
        <w:rPr>
          <w:rFonts w:eastAsia="Times New Roman"/>
          <w:sz w:val="24"/>
          <w:szCs w:val="20"/>
          <w:lang w:val="en-US"/>
        </w:rPr>
      </w:pPr>
    </w:p>
    <w:p w14:paraId="576EA5F3" w14:textId="4AE1380A" w:rsidR="008D1D52" w:rsidRPr="008D1D52" w:rsidRDefault="008D1D52" w:rsidP="0095435B">
      <w:pPr>
        <w:tabs>
          <w:tab w:val="left" w:pos="2115"/>
        </w:tabs>
        <w:rPr>
          <w:rFonts w:eastAsia="Times New Roman"/>
          <w:sz w:val="24"/>
          <w:szCs w:val="20"/>
          <w:lang w:val="en-US"/>
        </w:rPr>
      </w:pPr>
      <w:r>
        <w:rPr>
          <w:rFonts w:eastAsia="Times New Roman"/>
          <w:sz w:val="24"/>
          <w:szCs w:val="20"/>
          <w:lang w:val="en-US"/>
        </w:rPr>
        <w:tab/>
      </w:r>
    </w:p>
    <w:p w14:paraId="1C1A04BB" w14:textId="77777777" w:rsidR="0063436D" w:rsidRPr="0063436D" w:rsidRDefault="0063436D" w:rsidP="005E1D37">
      <w:pPr>
        <w:numPr>
          <w:ilvl w:val="0"/>
          <w:numId w:val="42"/>
        </w:numPr>
        <w:spacing w:before="60" w:after="0" w:line="240" w:lineRule="auto"/>
        <w:jc w:val="both"/>
        <w:rPr>
          <w:rFonts w:eastAsia="Times New Roman"/>
          <w:sz w:val="24"/>
          <w:szCs w:val="20"/>
          <w:lang w:val="en-US"/>
        </w:rPr>
      </w:pPr>
      <w:r w:rsidRPr="0063436D">
        <w:rPr>
          <w:rFonts w:eastAsia="Times New Roman"/>
          <w:sz w:val="24"/>
          <w:szCs w:val="20"/>
          <w:lang w:val="en-US"/>
        </w:rPr>
        <w:lastRenderedPageBreak/>
        <w:t>have an effective means of identifying all those who might have difficulty evacuating the building. Visitors should be encouraged to identify themselves at the time of</w:t>
      </w:r>
      <w:r w:rsidRPr="0063436D">
        <w:rPr>
          <w:rFonts w:eastAsia="Times New Roman"/>
          <w:snapToGrid w:val="0"/>
          <w:sz w:val="24"/>
          <w:szCs w:val="20"/>
          <w:lang w:val="en-US"/>
        </w:rPr>
        <w:t xml:space="preserve"> </w:t>
      </w:r>
      <w:r w:rsidRPr="0063436D">
        <w:rPr>
          <w:rFonts w:eastAsia="Times New Roman"/>
          <w:sz w:val="24"/>
          <w:szCs w:val="20"/>
          <w:lang w:val="en-US"/>
        </w:rPr>
        <w:t>arrival if they are likely to require assistan</w:t>
      </w:r>
      <w:r w:rsidR="005E1D37">
        <w:rPr>
          <w:rFonts w:eastAsia="Times New Roman"/>
          <w:sz w:val="24"/>
          <w:szCs w:val="20"/>
          <w:lang w:val="en-US"/>
        </w:rPr>
        <w:t>ce in the event of an emergency</w:t>
      </w:r>
    </w:p>
    <w:p w14:paraId="2D343B1F" w14:textId="73512469" w:rsidR="0063436D" w:rsidRPr="0063436D" w:rsidRDefault="0063436D" w:rsidP="005E1D37">
      <w:pPr>
        <w:numPr>
          <w:ilvl w:val="0"/>
          <w:numId w:val="42"/>
        </w:numPr>
        <w:spacing w:before="60" w:after="0" w:line="240" w:lineRule="auto"/>
        <w:jc w:val="both"/>
        <w:rPr>
          <w:rFonts w:eastAsia="Times New Roman"/>
          <w:sz w:val="24"/>
          <w:szCs w:val="20"/>
          <w:lang w:val="en-US"/>
        </w:rPr>
      </w:pPr>
      <w:r w:rsidRPr="0063436D">
        <w:rPr>
          <w:rFonts w:eastAsia="Times New Roman"/>
          <w:sz w:val="24"/>
          <w:szCs w:val="20"/>
          <w:lang w:val="en-US"/>
        </w:rPr>
        <w:t xml:space="preserve">discuss and agree with the </w:t>
      </w:r>
      <w:r w:rsidR="008B7BA5">
        <w:rPr>
          <w:rFonts w:eastAsia="Times New Roman"/>
          <w:sz w:val="24"/>
          <w:szCs w:val="20"/>
          <w:lang w:val="en-US"/>
        </w:rPr>
        <w:t xml:space="preserve">individual </w:t>
      </w:r>
      <w:r w:rsidRPr="0063436D">
        <w:rPr>
          <w:rFonts w:eastAsia="Times New Roman"/>
          <w:sz w:val="24"/>
          <w:szCs w:val="20"/>
          <w:lang w:val="en-US"/>
        </w:rPr>
        <w:t>the assistance or special arrangements that might be necessary. As part of your consultation exercise you will need to consider</w:t>
      </w:r>
      <w:r w:rsidR="005E1D37">
        <w:rPr>
          <w:rFonts w:eastAsia="Times New Roman"/>
          <w:sz w:val="24"/>
          <w:szCs w:val="20"/>
          <w:lang w:val="en-US"/>
        </w:rPr>
        <w:t xml:space="preserve"> the matter of personal dignity</w:t>
      </w:r>
    </w:p>
    <w:p w14:paraId="47CCEF26" w14:textId="77777777" w:rsidR="0063436D" w:rsidRPr="0063436D" w:rsidRDefault="0063436D" w:rsidP="005E1D37">
      <w:pPr>
        <w:numPr>
          <w:ilvl w:val="0"/>
          <w:numId w:val="42"/>
        </w:numPr>
        <w:spacing w:before="60" w:after="0" w:line="240" w:lineRule="auto"/>
        <w:jc w:val="both"/>
        <w:rPr>
          <w:rFonts w:eastAsia="Times New Roman"/>
          <w:sz w:val="24"/>
          <w:szCs w:val="20"/>
          <w:lang w:val="en-US"/>
        </w:rPr>
      </w:pPr>
      <w:r w:rsidRPr="0063436D">
        <w:rPr>
          <w:rFonts w:eastAsia="Times New Roman"/>
          <w:sz w:val="24"/>
          <w:szCs w:val="20"/>
          <w:lang w:val="en-US"/>
        </w:rPr>
        <w:t xml:space="preserve">record a Personal Emergency Evacuation Plan (PEEP) if required.  In many cases providing information or making simple arrangements/adjustments for assistance is all that will be required.  If a PEEP is to be written then </w:t>
      </w:r>
      <w:r w:rsidR="005E1D37">
        <w:rPr>
          <w:rFonts w:eastAsia="Times New Roman"/>
          <w:sz w:val="24"/>
          <w:szCs w:val="20"/>
          <w:lang w:val="en-US"/>
        </w:rPr>
        <w:t>a template has been provided separate from this guidance</w:t>
      </w:r>
      <w:r w:rsidRPr="0063436D">
        <w:rPr>
          <w:rFonts w:eastAsia="Times New Roman"/>
          <w:sz w:val="24"/>
          <w:szCs w:val="20"/>
          <w:lang w:val="en-US"/>
        </w:rPr>
        <w:t>.  Advice and support for writing the PEEP is available from your Health and Safety Adviser</w:t>
      </w:r>
      <w:r w:rsidR="005E1D37">
        <w:rPr>
          <w:rFonts w:eastAsia="Times New Roman"/>
          <w:sz w:val="24"/>
          <w:szCs w:val="20"/>
          <w:lang w:val="en-US"/>
        </w:rPr>
        <w:t xml:space="preserve"> if required</w:t>
      </w:r>
    </w:p>
    <w:p w14:paraId="1BFF6B4F" w14:textId="77777777" w:rsidR="0063436D" w:rsidRPr="0063436D" w:rsidRDefault="0063436D" w:rsidP="005E1D37">
      <w:pPr>
        <w:numPr>
          <w:ilvl w:val="0"/>
          <w:numId w:val="42"/>
        </w:numPr>
        <w:spacing w:before="60" w:after="0" w:line="240" w:lineRule="auto"/>
        <w:jc w:val="both"/>
        <w:rPr>
          <w:rFonts w:eastAsia="Times New Roman"/>
          <w:sz w:val="24"/>
          <w:szCs w:val="20"/>
          <w:lang w:val="en-US"/>
        </w:rPr>
      </w:pPr>
      <w:r w:rsidRPr="0063436D">
        <w:rPr>
          <w:rFonts w:eastAsia="Times New Roman"/>
          <w:sz w:val="24"/>
          <w:szCs w:val="20"/>
          <w:lang w:val="en-US"/>
        </w:rPr>
        <w:t>If members of the public use your building then you may need to develop a range of standard PEEPs, that can be provided on request to a disabled person or others with special needs but check the details match individual needs.</w:t>
      </w:r>
    </w:p>
    <w:p w14:paraId="30C47BC2" w14:textId="77777777" w:rsidR="005E1D37" w:rsidRDefault="005E1D37" w:rsidP="0063436D">
      <w:pPr>
        <w:spacing w:after="0" w:line="240" w:lineRule="auto"/>
        <w:jc w:val="both"/>
        <w:rPr>
          <w:rFonts w:eastAsia="Times New Roman"/>
          <w:b/>
          <w:sz w:val="28"/>
          <w:szCs w:val="28"/>
          <w:lang w:val="en-US"/>
        </w:rPr>
      </w:pPr>
    </w:p>
    <w:p w14:paraId="7CCC94F1" w14:textId="77777777" w:rsidR="0063436D" w:rsidRPr="005E1D37" w:rsidRDefault="005E1D37" w:rsidP="0063436D">
      <w:pPr>
        <w:spacing w:after="0" w:line="240" w:lineRule="auto"/>
        <w:jc w:val="both"/>
        <w:rPr>
          <w:rFonts w:eastAsia="Times New Roman"/>
          <w:b/>
          <w:sz w:val="28"/>
          <w:szCs w:val="28"/>
          <w:lang w:val="en-US"/>
        </w:rPr>
      </w:pPr>
      <w:r w:rsidRPr="005E1D37">
        <w:rPr>
          <w:rFonts w:eastAsia="Times New Roman"/>
          <w:b/>
          <w:sz w:val="28"/>
          <w:szCs w:val="28"/>
          <w:lang w:val="en-US"/>
        </w:rPr>
        <w:t>Completing the PEEP</w:t>
      </w:r>
    </w:p>
    <w:p w14:paraId="4F7AEF17" w14:textId="77777777" w:rsidR="005E1D37" w:rsidRPr="0063436D" w:rsidRDefault="005E1D37" w:rsidP="0063436D">
      <w:pPr>
        <w:spacing w:after="0" w:line="240" w:lineRule="auto"/>
        <w:jc w:val="both"/>
        <w:rPr>
          <w:rFonts w:eastAsia="Times New Roman"/>
          <w:sz w:val="24"/>
          <w:szCs w:val="20"/>
          <w:lang w:val="en-US"/>
        </w:rPr>
      </w:pPr>
    </w:p>
    <w:p w14:paraId="3A3323D7" w14:textId="77777777" w:rsidR="0063436D" w:rsidRPr="0063436D" w:rsidRDefault="0063436D" w:rsidP="0063436D">
      <w:pPr>
        <w:spacing w:after="0" w:line="240" w:lineRule="auto"/>
        <w:jc w:val="both"/>
        <w:rPr>
          <w:rFonts w:eastAsia="Times New Roman"/>
          <w:sz w:val="24"/>
          <w:szCs w:val="20"/>
          <w:lang w:val="en-US"/>
        </w:rPr>
      </w:pPr>
      <w:r w:rsidRPr="0063436D">
        <w:rPr>
          <w:rFonts w:eastAsia="Times New Roman"/>
          <w:sz w:val="24"/>
          <w:szCs w:val="20"/>
          <w:lang w:val="en-US"/>
        </w:rPr>
        <w:t xml:space="preserve">The </w:t>
      </w:r>
      <w:r w:rsidR="005E1D37">
        <w:rPr>
          <w:rFonts w:eastAsia="Times New Roman"/>
          <w:sz w:val="24"/>
          <w:szCs w:val="20"/>
          <w:lang w:val="en-US"/>
        </w:rPr>
        <w:t>available template</w:t>
      </w:r>
      <w:r w:rsidRPr="0063436D">
        <w:rPr>
          <w:rFonts w:eastAsia="Times New Roman"/>
          <w:sz w:val="24"/>
          <w:szCs w:val="20"/>
          <w:lang w:val="en-US"/>
        </w:rPr>
        <w:t xml:space="preserve"> records the agreed plan and the actions to be taken.</w:t>
      </w:r>
    </w:p>
    <w:p w14:paraId="56F2CAD1" w14:textId="77777777" w:rsidR="0063436D" w:rsidRPr="0063436D" w:rsidRDefault="0063436D" w:rsidP="0063436D">
      <w:pPr>
        <w:spacing w:after="0" w:line="240" w:lineRule="auto"/>
        <w:jc w:val="both"/>
        <w:rPr>
          <w:rFonts w:eastAsia="Times New Roman"/>
          <w:sz w:val="20"/>
          <w:szCs w:val="20"/>
          <w:lang w:val="en-US"/>
        </w:rPr>
      </w:pPr>
    </w:p>
    <w:p w14:paraId="3B5B9A5A" w14:textId="0AEEB3BA" w:rsidR="0063436D" w:rsidRPr="0063436D" w:rsidRDefault="0063436D" w:rsidP="0063436D">
      <w:pPr>
        <w:spacing w:after="0" w:line="240" w:lineRule="auto"/>
        <w:jc w:val="both"/>
        <w:rPr>
          <w:rFonts w:eastAsia="Times New Roman"/>
          <w:sz w:val="24"/>
          <w:szCs w:val="20"/>
        </w:rPr>
      </w:pPr>
      <w:r w:rsidRPr="0063436D">
        <w:rPr>
          <w:rFonts w:eastAsia="Times New Roman"/>
          <w:sz w:val="24"/>
          <w:szCs w:val="20"/>
        </w:rPr>
        <w:t xml:space="preserve">The employee and manager should complete the form during a face-to-face meeting.  Both parties should discuss/consider the local emergency evacuation policies and the </w:t>
      </w:r>
      <w:r w:rsidR="00EB4CAC">
        <w:rPr>
          <w:rFonts w:eastAsia="Times New Roman"/>
          <w:sz w:val="24"/>
          <w:szCs w:val="20"/>
        </w:rPr>
        <w:t xml:space="preserve">HM Government </w:t>
      </w:r>
      <w:r w:rsidRPr="0063436D">
        <w:rPr>
          <w:rFonts w:eastAsia="Times New Roman"/>
          <w:sz w:val="24"/>
          <w:szCs w:val="20"/>
        </w:rPr>
        <w:t>guidance</w:t>
      </w:r>
      <w:r w:rsidR="00EB4CAC">
        <w:rPr>
          <w:rFonts w:eastAsia="Times New Roman"/>
          <w:sz w:val="24"/>
          <w:szCs w:val="20"/>
        </w:rPr>
        <w:t>; Fire Safety Risk Assessment – Means of Escape for Disabled People,</w:t>
      </w:r>
      <w:r w:rsidRPr="0063436D">
        <w:rPr>
          <w:rFonts w:eastAsia="Times New Roman"/>
          <w:sz w:val="24"/>
          <w:szCs w:val="20"/>
        </w:rPr>
        <w:t xml:space="preserve"> before filling in the form.</w:t>
      </w:r>
    </w:p>
    <w:p w14:paraId="443D5426" w14:textId="77777777" w:rsidR="0063436D" w:rsidRPr="0063436D" w:rsidRDefault="0063436D" w:rsidP="0063436D">
      <w:pPr>
        <w:spacing w:after="0" w:line="240" w:lineRule="auto"/>
        <w:jc w:val="both"/>
        <w:rPr>
          <w:rFonts w:eastAsia="Times New Roman"/>
          <w:sz w:val="20"/>
          <w:szCs w:val="20"/>
        </w:rPr>
      </w:pPr>
    </w:p>
    <w:p w14:paraId="7FD20D64" w14:textId="0271A97C" w:rsidR="0063436D" w:rsidRPr="0063436D" w:rsidRDefault="00EB4CAC" w:rsidP="0063436D">
      <w:pPr>
        <w:spacing w:after="0" w:line="240" w:lineRule="auto"/>
        <w:jc w:val="both"/>
        <w:rPr>
          <w:rFonts w:eastAsia="Times New Roman"/>
          <w:sz w:val="24"/>
          <w:szCs w:val="20"/>
        </w:rPr>
      </w:pPr>
      <w:r>
        <w:rPr>
          <w:rFonts w:eastAsia="Times New Roman"/>
          <w:sz w:val="24"/>
          <w:szCs w:val="20"/>
        </w:rPr>
        <w:t xml:space="preserve">People with disabilities </w:t>
      </w:r>
      <w:r w:rsidR="0063436D" w:rsidRPr="0063436D">
        <w:rPr>
          <w:rFonts w:eastAsia="Times New Roman"/>
          <w:sz w:val="24"/>
          <w:szCs w:val="20"/>
        </w:rPr>
        <w:t>who regularly use different buildings may have to have a separate PEEP for each building.</w:t>
      </w:r>
    </w:p>
    <w:p w14:paraId="3858C27E" w14:textId="77777777" w:rsidR="00957D6C" w:rsidRDefault="00957D6C" w:rsidP="0063436D">
      <w:pPr>
        <w:spacing w:after="0" w:line="240" w:lineRule="auto"/>
        <w:jc w:val="both"/>
        <w:rPr>
          <w:rFonts w:eastAsia="Times New Roman"/>
          <w:sz w:val="28"/>
          <w:szCs w:val="20"/>
          <w:lang w:val="en-US"/>
        </w:rPr>
      </w:pPr>
    </w:p>
    <w:p w14:paraId="017BC592" w14:textId="77777777" w:rsidR="00957D6C" w:rsidRDefault="00957D6C" w:rsidP="0063436D">
      <w:pPr>
        <w:spacing w:after="0" w:line="240" w:lineRule="auto"/>
        <w:jc w:val="both"/>
        <w:rPr>
          <w:rFonts w:eastAsia="Times New Roman"/>
          <w:b/>
          <w:sz w:val="24"/>
          <w:szCs w:val="24"/>
          <w:lang w:val="en-US"/>
        </w:rPr>
      </w:pPr>
    </w:p>
    <w:p w14:paraId="1CA91D40" w14:textId="1F719DCC" w:rsidR="0063436D" w:rsidRPr="0063436D" w:rsidRDefault="0063436D" w:rsidP="0063436D">
      <w:pPr>
        <w:spacing w:after="0" w:line="240" w:lineRule="auto"/>
        <w:rPr>
          <w:rFonts w:eastAsia="Times New Roman"/>
          <w:b/>
          <w:color w:val="FFFFFF"/>
          <w:sz w:val="24"/>
          <w:szCs w:val="20"/>
          <w:lang w:val="en-US"/>
        </w:rPr>
      </w:pPr>
      <w:r w:rsidRPr="0063436D">
        <w:rPr>
          <w:rFonts w:eastAsia="Times New Roman"/>
          <w:b/>
          <w:color w:val="FFFFFF"/>
          <w:sz w:val="28"/>
          <w:szCs w:val="20"/>
          <w:lang w:val="en-US"/>
        </w:rPr>
        <w:t>cy</w:t>
      </w:r>
    </w:p>
    <w:p w14:paraId="1ED3F0C2" w14:textId="77777777" w:rsidR="0063436D" w:rsidRPr="0063436D" w:rsidRDefault="0063436D" w:rsidP="0063436D">
      <w:pPr>
        <w:spacing w:after="0" w:line="240" w:lineRule="auto"/>
        <w:rPr>
          <w:rFonts w:eastAsia="Times New Roman"/>
          <w:b/>
          <w:color w:val="FFFFFF"/>
          <w:sz w:val="24"/>
          <w:szCs w:val="20"/>
          <w:lang w:val="en-US"/>
        </w:rPr>
      </w:pPr>
    </w:p>
    <w:p w14:paraId="43C8081F" w14:textId="77777777" w:rsidR="0063436D" w:rsidRPr="0063436D" w:rsidRDefault="0063436D" w:rsidP="0063436D">
      <w:pPr>
        <w:spacing w:after="0" w:line="240" w:lineRule="auto"/>
        <w:rPr>
          <w:rFonts w:eastAsia="Times New Roman"/>
          <w:color w:val="FF0000"/>
          <w:sz w:val="24"/>
          <w:szCs w:val="20"/>
          <w:lang w:val="en-US"/>
        </w:rPr>
      </w:pPr>
    </w:p>
    <w:p w14:paraId="6BEC73F3" w14:textId="77777777" w:rsidR="00F258A8" w:rsidRPr="00F258A8" w:rsidRDefault="00F258A8" w:rsidP="00F258A8">
      <w:pPr>
        <w:jc w:val="center"/>
      </w:pPr>
    </w:p>
    <w:sectPr w:rsidR="00F258A8" w:rsidRPr="00F258A8" w:rsidSect="000A56FE">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CBE38" w14:textId="77777777" w:rsidR="000A56FE" w:rsidRDefault="000A56FE" w:rsidP="00AA1BAB">
      <w:pPr>
        <w:spacing w:after="0" w:line="240" w:lineRule="auto"/>
      </w:pPr>
      <w:r>
        <w:separator/>
      </w:r>
    </w:p>
  </w:endnote>
  <w:endnote w:type="continuationSeparator" w:id="0">
    <w:p w14:paraId="276B0D04" w14:textId="77777777" w:rsidR="000A56FE" w:rsidRDefault="000A56FE"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F18DD" w14:textId="47CCB55C" w:rsidR="00AA1BAB" w:rsidRDefault="008D1D52">
    <w:pPr>
      <w:pStyle w:val="Footer"/>
    </w:pPr>
    <w:r w:rsidRPr="008D1D52">
      <w:t>H&amp;S/DN/Reviewed July 2019/Next Review: July 2021</w:t>
    </w:r>
  </w:p>
  <w:p w14:paraId="43898019" w14:textId="77777777" w:rsidR="00AA1BAB" w:rsidRDefault="000A56FE">
    <w:pPr>
      <w:pStyle w:val="Footer"/>
    </w:pPr>
    <w:r>
      <w:rPr>
        <w:noProof/>
        <w:lang w:eastAsia="en-GB"/>
      </w:rPr>
      <w:drawing>
        <wp:anchor distT="0" distB="0" distL="114300" distR="114300" simplePos="0" relativeHeight="251658752" behindDoc="0" locked="0" layoutInCell="1" allowOverlap="1" wp14:anchorId="6E81B521" wp14:editId="010EAC74">
          <wp:simplePos x="0" y="0"/>
          <wp:positionH relativeFrom="page">
            <wp:posOffset>8890</wp:posOffset>
          </wp:positionH>
          <wp:positionV relativeFrom="page">
            <wp:posOffset>10130790</wp:posOffset>
          </wp:positionV>
          <wp:extent cx="7569200" cy="207010"/>
          <wp:effectExtent l="0" t="0" r="0" b="2540"/>
          <wp:wrapThrough wrapText="bothSides">
            <wp:wrapPolygon edited="0">
              <wp:start x="0" y="0"/>
              <wp:lineTo x="0" y="19877"/>
              <wp:lineTo x="21528" y="19877"/>
              <wp:lineTo x="21528" y="0"/>
              <wp:lineTo x="0" y="0"/>
            </wp:wrapPolygon>
          </wp:wrapThrough>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20894" w14:textId="64BF5A59" w:rsidR="00065777" w:rsidRDefault="008D1D52">
    <w:pPr>
      <w:pStyle w:val="Footer"/>
    </w:pPr>
    <w:r>
      <w:t xml:space="preserve"> </w:t>
    </w:r>
    <w:bookmarkStart w:id="1" w:name="_Hlk14790839"/>
    <w:r>
      <w:t>H&amp;S/DN/Reviewed July 2019/Next Review: July 2021</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91BF9" w14:textId="77777777" w:rsidR="000A56FE" w:rsidRDefault="000A56FE" w:rsidP="00AA1BAB">
      <w:pPr>
        <w:spacing w:after="0" w:line="240" w:lineRule="auto"/>
      </w:pPr>
      <w:r>
        <w:separator/>
      </w:r>
    </w:p>
  </w:footnote>
  <w:footnote w:type="continuationSeparator" w:id="0">
    <w:p w14:paraId="01887ED5" w14:textId="77777777" w:rsidR="000A56FE" w:rsidRDefault="000A56FE"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4A08" w14:textId="77777777" w:rsidR="00AA1BAB" w:rsidRDefault="00AA1BAB">
    <w:pPr>
      <w:pStyle w:val="Header"/>
    </w:pPr>
  </w:p>
  <w:p w14:paraId="657CD81D" w14:textId="77777777" w:rsidR="00AA1BAB" w:rsidRDefault="00AA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6043" w14:textId="77777777" w:rsidR="000A56FE" w:rsidRDefault="000A56FE">
    <w:pPr>
      <w:pStyle w:val="Header"/>
    </w:pPr>
    <w:r>
      <w:rPr>
        <w:noProof/>
        <w:lang w:eastAsia="en-GB"/>
      </w:rPr>
      <mc:AlternateContent>
        <mc:Choice Requires="wps">
          <w:drawing>
            <wp:anchor distT="0" distB="0" distL="114300" distR="114300" simplePos="0" relativeHeight="251660800" behindDoc="0" locked="0" layoutInCell="1" allowOverlap="1" wp14:anchorId="2AFA7C30" wp14:editId="667B110E">
              <wp:simplePos x="0" y="0"/>
              <wp:positionH relativeFrom="column">
                <wp:posOffset>-130175</wp:posOffset>
              </wp:positionH>
              <wp:positionV relativeFrom="paragraph">
                <wp:posOffset>-250190</wp:posOffset>
              </wp:positionV>
              <wp:extent cx="5247640" cy="977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977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C51550" w14:textId="77777777" w:rsidR="000A56FE" w:rsidRPr="007B2C4A" w:rsidRDefault="00DB06F2" w:rsidP="000A56FE">
                          <w:pPr>
                            <w:rPr>
                              <w:rFonts w:cs="Arial"/>
                              <w:b/>
                              <w:color w:val="FFFFFF" w:themeColor="background1"/>
                              <w:sz w:val="48"/>
                              <w:szCs w:val="48"/>
                            </w:rPr>
                          </w:pPr>
                          <w:r w:rsidRPr="007B2C4A">
                            <w:rPr>
                              <w:rFonts w:eastAsia="Times New Roman"/>
                              <w:b/>
                              <w:color w:val="FFFFFF" w:themeColor="background1"/>
                              <w:sz w:val="48"/>
                              <w:szCs w:val="48"/>
                              <w:lang w:val="en-US"/>
                            </w:rPr>
                            <w:t>Evacuation of disabled people in the event of fire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A7C30" id="_x0000_t202" coordsize="21600,21600" o:spt="202" path="m,l,21600r21600,l21600,xe">
              <v:stroke joinstyle="miter"/>
              <v:path gradientshapeok="t" o:connecttype="rect"/>
            </v:shapetype>
            <v:shape id="Text Box 3" o:spid="_x0000_s1026" type="#_x0000_t202" style="position:absolute;margin-left:-10.25pt;margin-top:-19.7pt;width:413.2pt;height:7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" filled="f" stroked="f">
              <v:textbox>
                <w:txbxContent>
                  <w:p w14:paraId="11C51550" w14:textId="77777777" w:rsidR="000A56FE" w:rsidRPr="007B2C4A" w:rsidRDefault="00DB06F2" w:rsidP="000A56FE">
                    <w:pPr>
                      <w:rPr>
                        <w:rFonts w:cs="Arial"/>
                        <w:b/>
                        <w:color w:val="FFFFFF" w:themeColor="background1"/>
                        <w:sz w:val="48"/>
                        <w:szCs w:val="48"/>
                      </w:rPr>
                    </w:pPr>
                    <w:r w:rsidRPr="007B2C4A">
                      <w:rPr>
                        <w:rFonts w:eastAsia="Times New Roman"/>
                        <w:b/>
                        <w:color w:val="FFFFFF" w:themeColor="background1"/>
                        <w:sz w:val="48"/>
                        <w:szCs w:val="48"/>
                        <w:lang w:val="en-US"/>
                      </w:rPr>
                      <w:t>Evacuation of disabled people in the event of fire</w:t>
                    </w:r>
                  </w:p>
                </w:txbxContent>
              </v:textbox>
            </v:shape>
          </w:pict>
        </mc:Fallback>
      </mc:AlternateContent>
    </w:r>
    <w:r>
      <w:rPr>
        <w:noProof/>
        <w:lang w:eastAsia="en-GB"/>
      </w:rPr>
      <w:drawing>
        <wp:anchor distT="0" distB="0" distL="114300" distR="114300" simplePos="0" relativeHeight="251659776" behindDoc="0" locked="0" layoutInCell="1" allowOverlap="1" wp14:anchorId="1A4A46B4" wp14:editId="2E8725E2">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0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571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B47A42"/>
    <w:multiLevelType w:val="multilevel"/>
    <w:tmpl w:val="008413D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B73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3D43B0"/>
    <w:multiLevelType w:val="multilevel"/>
    <w:tmpl w:val="DBFA7FA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A74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174D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6729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7D4C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9E4463"/>
    <w:multiLevelType w:val="hybridMultilevel"/>
    <w:tmpl w:val="BE9CF5CA"/>
    <w:lvl w:ilvl="0" w:tplc="E6F26A0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13E8D"/>
    <w:multiLevelType w:val="singleLevel"/>
    <w:tmpl w:val="DA1E6F18"/>
    <w:lvl w:ilvl="0">
      <w:numFmt w:val="bullet"/>
      <w:lvlText w:val="•"/>
      <w:lvlJc w:val="left"/>
      <w:pPr>
        <w:tabs>
          <w:tab w:val="num" w:pos="360"/>
        </w:tabs>
        <w:ind w:left="0" w:firstLine="0"/>
      </w:pPr>
      <w:rPr>
        <w:rFonts w:ascii="Arial" w:hAnsi="Arial" w:hint="default"/>
        <w:sz w:val="28"/>
      </w:rPr>
    </w:lvl>
  </w:abstractNum>
  <w:abstractNum w:abstractNumId="12" w15:restartNumberingAfterBreak="0">
    <w:nsid w:val="28E219DF"/>
    <w:multiLevelType w:val="singleLevel"/>
    <w:tmpl w:val="08090001"/>
    <w:lvl w:ilvl="0">
      <w:start w:val="1"/>
      <w:numFmt w:val="bullet"/>
      <w:lvlText w:val=""/>
      <w:lvlJc w:val="left"/>
      <w:pPr>
        <w:ind w:left="720" w:hanging="360"/>
      </w:pPr>
      <w:rPr>
        <w:rFonts w:ascii="Symbol" w:hAnsi="Symbol" w:hint="default"/>
        <w:sz w:val="16"/>
      </w:rPr>
    </w:lvl>
  </w:abstractNum>
  <w:abstractNum w:abstractNumId="13" w15:restartNumberingAfterBreak="0">
    <w:nsid w:val="32D728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107F37"/>
    <w:multiLevelType w:val="singleLevel"/>
    <w:tmpl w:val="DA1E6F18"/>
    <w:lvl w:ilvl="0">
      <w:numFmt w:val="bullet"/>
      <w:lvlText w:val="•"/>
      <w:lvlJc w:val="left"/>
      <w:pPr>
        <w:tabs>
          <w:tab w:val="num" w:pos="360"/>
        </w:tabs>
        <w:ind w:left="0" w:firstLine="0"/>
      </w:pPr>
      <w:rPr>
        <w:rFonts w:ascii="Arial" w:hAnsi="Arial" w:hint="default"/>
        <w:sz w:val="28"/>
      </w:rPr>
    </w:lvl>
  </w:abstractNum>
  <w:abstractNum w:abstractNumId="15" w15:restartNumberingAfterBreak="0">
    <w:nsid w:val="393E36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FD1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477D28"/>
    <w:multiLevelType w:val="hybridMultilevel"/>
    <w:tmpl w:val="895AAAA8"/>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41645C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EC3875"/>
    <w:multiLevelType w:val="singleLevel"/>
    <w:tmpl w:val="DA1E6F18"/>
    <w:lvl w:ilvl="0">
      <w:numFmt w:val="bullet"/>
      <w:lvlText w:val="•"/>
      <w:lvlJc w:val="left"/>
      <w:pPr>
        <w:tabs>
          <w:tab w:val="num" w:pos="360"/>
        </w:tabs>
        <w:ind w:left="0" w:firstLine="0"/>
      </w:pPr>
      <w:rPr>
        <w:rFonts w:ascii="Arial" w:hAnsi="Arial" w:hint="default"/>
        <w:sz w:val="28"/>
      </w:rPr>
    </w:lvl>
  </w:abstractNum>
  <w:abstractNum w:abstractNumId="20" w15:restartNumberingAfterBreak="0">
    <w:nsid w:val="42A86CB0"/>
    <w:multiLevelType w:val="hybridMultilevel"/>
    <w:tmpl w:val="EE585288"/>
    <w:lvl w:ilvl="0" w:tplc="DDB06060">
      <w:start w:val="1"/>
      <w:numFmt w:val="bullet"/>
      <w:lvlText w:val=""/>
      <w:lvlJc w:val="left"/>
      <w:pPr>
        <w:tabs>
          <w:tab w:val="num" w:pos="1298"/>
        </w:tabs>
        <w:ind w:left="129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45BA43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0244A0"/>
    <w:multiLevelType w:val="singleLevel"/>
    <w:tmpl w:val="DA1E6F18"/>
    <w:lvl w:ilvl="0">
      <w:numFmt w:val="bullet"/>
      <w:lvlText w:val="•"/>
      <w:lvlJc w:val="left"/>
      <w:pPr>
        <w:tabs>
          <w:tab w:val="num" w:pos="360"/>
        </w:tabs>
        <w:ind w:left="0" w:firstLine="0"/>
      </w:pPr>
      <w:rPr>
        <w:rFonts w:ascii="Arial" w:hAnsi="Arial" w:hint="default"/>
        <w:sz w:val="28"/>
      </w:rPr>
    </w:lvl>
  </w:abstractNum>
  <w:abstractNum w:abstractNumId="23" w15:restartNumberingAfterBreak="0">
    <w:nsid w:val="488B3CFB"/>
    <w:multiLevelType w:val="multilevel"/>
    <w:tmpl w:val="736445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6951A1"/>
    <w:multiLevelType w:val="multilevel"/>
    <w:tmpl w:val="30AC99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B726B"/>
    <w:multiLevelType w:val="multilevel"/>
    <w:tmpl w:val="69541E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B7A83"/>
    <w:multiLevelType w:val="singleLevel"/>
    <w:tmpl w:val="DA1E6F18"/>
    <w:lvl w:ilvl="0">
      <w:numFmt w:val="bullet"/>
      <w:lvlText w:val="•"/>
      <w:lvlJc w:val="left"/>
      <w:pPr>
        <w:tabs>
          <w:tab w:val="num" w:pos="360"/>
        </w:tabs>
        <w:ind w:left="0" w:firstLine="0"/>
      </w:pPr>
      <w:rPr>
        <w:rFonts w:ascii="Arial" w:hAnsi="Arial" w:hint="default"/>
        <w:sz w:val="28"/>
      </w:rPr>
    </w:lvl>
  </w:abstractNum>
  <w:abstractNum w:abstractNumId="27" w15:restartNumberingAfterBreak="0">
    <w:nsid w:val="5C1D7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7857F8"/>
    <w:multiLevelType w:val="multilevel"/>
    <w:tmpl w:val="5E6A8F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97C7BDA"/>
    <w:multiLevelType w:val="singleLevel"/>
    <w:tmpl w:val="DA1E6F18"/>
    <w:lvl w:ilvl="0">
      <w:numFmt w:val="bullet"/>
      <w:lvlText w:val="•"/>
      <w:lvlJc w:val="left"/>
      <w:pPr>
        <w:tabs>
          <w:tab w:val="num" w:pos="360"/>
        </w:tabs>
        <w:ind w:left="0" w:firstLine="0"/>
      </w:pPr>
      <w:rPr>
        <w:rFonts w:ascii="Arial" w:hAnsi="Arial" w:hint="default"/>
        <w:sz w:val="28"/>
      </w:rPr>
    </w:lvl>
  </w:abstractNum>
  <w:abstractNum w:abstractNumId="30" w15:restartNumberingAfterBreak="0">
    <w:nsid w:val="69AF32B9"/>
    <w:multiLevelType w:val="singleLevel"/>
    <w:tmpl w:val="DA1E6F18"/>
    <w:lvl w:ilvl="0">
      <w:numFmt w:val="bullet"/>
      <w:lvlText w:val="•"/>
      <w:lvlJc w:val="left"/>
      <w:pPr>
        <w:tabs>
          <w:tab w:val="num" w:pos="360"/>
        </w:tabs>
        <w:ind w:left="0" w:firstLine="0"/>
      </w:pPr>
      <w:rPr>
        <w:rFonts w:ascii="Arial" w:hAnsi="Arial" w:hint="default"/>
        <w:sz w:val="28"/>
      </w:rPr>
    </w:lvl>
  </w:abstractNum>
  <w:abstractNum w:abstractNumId="31"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7276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5034E6D"/>
    <w:multiLevelType w:val="singleLevel"/>
    <w:tmpl w:val="DA1E6F18"/>
    <w:lvl w:ilvl="0">
      <w:numFmt w:val="bullet"/>
      <w:lvlText w:val="•"/>
      <w:lvlJc w:val="left"/>
      <w:pPr>
        <w:tabs>
          <w:tab w:val="num" w:pos="360"/>
        </w:tabs>
        <w:ind w:left="0" w:firstLine="0"/>
      </w:pPr>
      <w:rPr>
        <w:rFonts w:ascii="Arial" w:hAnsi="Arial" w:hint="default"/>
        <w:sz w:val="28"/>
      </w:rPr>
    </w:lvl>
  </w:abstractNum>
  <w:abstractNum w:abstractNumId="34" w15:restartNumberingAfterBreak="0">
    <w:nsid w:val="75202039"/>
    <w:multiLevelType w:val="singleLevel"/>
    <w:tmpl w:val="DA1E6F18"/>
    <w:lvl w:ilvl="0">
      <w:numFmt w:val="bullet"/>
      <w:lvlText w:val="•"/>
      <w:lvlJc w:val="left"/>
      <w:pPr>
        <w:tabs>
          <w:tab w:val="num" w:pos="360"/>
        </w:tabs>
        <w:ind w:left="0" w:firstLine="0"/>
      </w:pPr>
      <w:rPr>
        <w:rFonts w:ascii="Arial" w:hAnsi="Arial" w:hint="default"/>
        <w:sz w:val="28"/>
      </w:rPr>
    </w:lvl>
  </w:abstractNum>
  <w:abstractNum w:abstractNumId="35" w15:restartNumberingAfterBreak="0">
    <w:nsid w:val="767A7E37"/>
    <w:multiLevelType w:val="hybridMultilevel"/>
    <w:tmpl w:val="97B6C0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7E97D47"/>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92E323F"/>
    <w:multiLevelType w:val="multilevel"/>
    <w:tmpl w:val="D3B6820E"/>
    <w:lvl w:ilvl="0">
      <w:start w:val="1"/>
      <w:numFmt w:val="bullet"/>
      <w:lvlText w:val=""/>
      <w:lvlJc w:val="left"/>
      <w:pPr>
        <w:tabs>
          <w:tab w:val="num" w:pos="780"/>
        </w:tabs>
        <w:ind w:left="780" w:hanging="360"/>
      </w:pPr>
      <w:rPr>
        <w:rFonts w:ascii="Wingdings" w:hAnsi="Wingdings" w:hint="default"/>
      </w:rPr>
    </w:lvl>
    <w:lvl w:ilvl="1">
      <w:start w:val="1"/>
      <w:numFmt w:val="bullet"/>
      <w:lvlText w:val=""/>
      <w:lvlJc w:val="left"/>
      <w:pPr>
        <w:tabs>
          <w:tab w:val="num" w:pos="1500"/>
        </w:tabs>
        <w:ind w:left="1500" w:hanging="360"/>
      </w:pPr>
      <w:rPr>
        <w:rFonts w:ascii="Symbol" w:hAnsi="Symbol"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EA0FB0"/>
    <w:multiLevelType w:val="multilevel"/>
    <w:tmpl w:val="17660A5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6F7C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F17576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10"/>
  </w:num>
  <w:num w:numId="3">
    <w:abstractNumId w:val="38"/>
  </w:num>
  <w:num w:numId="4">
    <w:abstractNumId w:val="32"/>
  </w:num>
  <w:num w:numId="5">
    <w:abstractNumId w:val="40"/>
  </w:num>
  <w:num w:numId="6">
    <w:abstractNumId w:val="13"/>
  </w:num>
  <w:num w:numId="7">
    <w:abstractNumId w:val="5"/>
  </w:num>
  <w:num w:numId="8">
    <w:abstractNumId w:val="12"/>
  </w:num>
  <w:num w:numId="9">
    <w:abstractNumId w:val="16"/>
  </w:num>
  <w:num w:numId="10">
    <w:abstractNumId w:val="36"/>
  </w:num>
  <w:num w:numId="11">
    <w:abstractNumId w:val="21"/>
  </w:num>
  <w:num w:numId="12">
    <w:abstractNumId w:val="41"/>
  </w:num>
  <w:num w:numId="13">
    <w:abstractNumId w:val="17"/>
  </w:num>
  <w:num w:numId="14">
    <w:abstractNumId w:val="1"/>
  </w:num>
  <w:num w:numId="15">
    <w:abstractNumId w:val="18"/>
  </w:num>
  <w:num w:numId="16">
    <w:abstractNumId w:val="7"/>
  </w:num>
  <w:num w:numId="17">
    <w:abstractNumId w:val="27"/>
  </w:num>
  <w:num w:numId="18">
    <w:abstractNumId w:val="8"/>
  </w:num>
  <w:num w:numId="19">
    <w:abstractNumId w:val="15"/>
  </w:num>
  <w:num w:numId="20">
    <w:abstractNumId w:val="6"/>
  </w:num>
  <w:num w:numId="21">
    <w:abstractNumId w:val="0"/>
  </w:num>
  <w:num w:numId="22">
    <w:abstractNumId w:val="37"/>
  </w:num>
  <w:num w:numId="23">
    <w:abstractNumId w:val="26"/>
  </w:num>
  <w:num w:numId="24">
    <w:abstractNumId w:val="4"/>
  </w:num>
  <w:num w:numId="25">
    <w:abstractNumId w:val="22"/>
  </w:num>
  <w:num w:numId="26">
    <w:abstractNumId w:val="33"/>
  </w:num>
  <w:num w:numId="27">
    <w:abstractNumId w:val="29"/>
  </w:num>
  <w:num w:numId="28">
    <w:abstractNumId w:val="24"/>
  </w:num>
  <w:num w:numId="29">
    <w:abstractNumId w:val="14"/>
  </w:num>
  <w:num w:numId="30">
    <w:abstractNumId w:val="19"/>
  </w:num>
  <w:num w:numId="31">
    <w:abstractNumId w:val="11"/>
  </w:num>
  <w:num w:numId="32">
    <w:abstractNumId w:val="28"/>
  </w:num>
  <w:num w:numId="33">
    <w:abstractNumId w:val="34"/>
  </w:num>
  <w:num w:numId="34">
    <w:abstractNumId w:val="2"/>
  </w:num>
  <w:num w:numId="35">
    <w:abstractNumId w:val="30"/>
  </w:num>
  <w:num w:numId="36">
    <w:abstractNumId w:val="25"/>
  </w:num>
  <w:num w:numId="37">
    <w:abstractNumId w:val="39"/>
  </w:num>
  <w:num w:numId="38">
    <w:abstractNumId w:val="3"/>
  </w:num>
  <w:num w:numId="39">
    <w:abstractNumId w:val="20"/>
  </w:num>
  <w:num w:numId="40">
    <w:abstractNumId w:val="9"/>
  </w:num>
  <w:num w:numId="41">
    <w:abstractNumId w:val="3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10A6C"/>
    <w:rsid w:val="00013156"/>
    <w:rsid w:val="0002057D"/>
    <w:rsid w:val="00065777"/>
    <w:rsid w:val="000A56FE"/>
    <w:rsid w:val="000D2589"/>
    <w:rsid w:val="001168A2"/>
    <w:rsid w:val="001259E4"/>
    <w:rsid w:val="002417E4"/>
    <w:rsid w:val="002F2225"/>
    <w:rsid w:val="003F02CC"/>
    <w:rsid w:val="004851B9"/>
    <w:rsid w:val="004E5409"/>
    <w:rsid w:val="0051517D"/>
    <w:rsid w:val="00554D69"/>
    <w:rsid w:val="0055796B"/>
    <w:rsid w:val="005E0543"/>
    <w:rsid w:val="005E1D37"/>
    <w:rsid w:val="005F1B5A"/>
    <w:rsid w:val="0063436D"/>
    <w:rsid w:val="006B3A0E"/>
    <w:rsid w:val="007B2C4A"/>
    <w:rsid w:val="008B7BA5"/>
    <w:rsid w:val="008C185D"/>
    <w:rsid w:val="008D1D52"/>
    <w:rsid w:val="008F673C"/>
    <w:rsid w:val="0095435B"/>
    <w:rsid w:val="00957D6C"/>
    <w:rsid w:val="00A27025"/>
    <w:rsid w:val="00A531DE"/>
    <w:rsid w:val="00AA1BAB"/>
    <w:rsid w:val="00AB5F96"/>
    <w:rsid w:val="00AD14CB"/>
    <w:rsid w:val="00B162A6"/>
    <w:rsid w:val="00B4058A"/>
    <w:rsid w:val="00B53BC4"/>
    <w:rsid w:val="00D16C25"/>
    <w:rsid w:val="00D672D2"/>
    <w:rsid w:val="00DA5406"/>
    <w:rsid w:val="00DB06F2"/>
    <w:rsid w:val="00E11C07"/>
    <w:rsid w:val="00E705F5"/>
    <w:rsid w:val="00EB4CAC"/>
    <w:rsid w:val="00EF2AB1"/>
    <w:rsid w:val="00F02E44"/>
    <w:rsid w:val="00F22692"/>
    <w:rsid w:val="00F258A8"/>
    <w:rsid w:val="00F620AA"/>
    <w:rsid w:val="00FA45D4"/>
    <w:rsid w:val="00FA7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BC747C6"/>
  <w15:docId w15:val="{F6E5D712-7961-4D8B-AC73-D8AC3F53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paragraph" w:styleId="Heading3">
    <w:name w:val="heading 3"/>
    <w:basedOn w:val="Normal"/>
    <w:next w:val="Normal"/>
    <w:link w:val="Heading3Char"/>
    <w:uiPriority w:val="9"/>
    <w:semiHidden/>
    <w:unhideWhenUsed/>
    <w:qFormat/>
    <w:rsid w:val="00FA45D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258A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258A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customStyle="1" w:styleId="Heading3Char">
    <w:name w:val="Heading 3 Char"/>
    <w:basedOn w:val="DefaultParagraphFont"/>
    <w:link w:val="Heading3"/>
    <w:uiPriority w:val="9"/>
    <w:semiHidden/>
    <w:rsid w:val="00FA45D4"/>
    <w:rPr>
      <w:rFonts w:asciiTheme="majorHAnsi" w:eastAsiaTheme="majorEastAsia" w:hAnsiTheme="majorHAnsi" w:cstheme="majorBidi"/>
      <w:b/>
      <w:bCs/>
      <w:color w:val="4F81BD" w:themeColor="accent1"/>
      <w:sz w:val="22"/>
      <w:szCs w:val="22"/>
      <w:lang w:eastAsia="en-US"/>
    </w:rPr>
  </w:style>
  <w:style w:type="character" w:customStyle="1" w:styleId="Heading6Char">
    <w:name w:val="Heading 6 Char"/>
    <w:basedOn w:val="DefaultParagraphFont"/>
    <w:link w:val="Heading6"/>
    <w:uiPriority w:val="9"/>
    <w:semiHidden/>
    <w:rsid w:val="00F258A8"/>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F258A8"/>
    <w:rPr>
      <w:rFonts w:asciiTheme="majorHAnsi" w:eastAsiaTheme="majorEastAsia" w:hAnsiTheme="majorHAnsi" w:cstheme="majorBidi"/>
      <w:color w:val="404040" w:themeColor="text1" w:themeTint="BF"/>
      <w:lang w:eastAsia="en-US"/>
    </w:rPr>
  </w:style>
  <w:style w:type="character" w:styleId="Hyperlink">
    <w:name w:val="Hyperlink"/>
    <w:basedOn w:val="DefaultParagraphFont"/>
    <w:uiPriority w:val="99"/>
    <w:unhideWhenUsed/>
    <w:rsid w:val="00957D6C"/>
    <w:rPr>
      <w:color w:val="0000FF" w:themeColor="hyperlink"/>
      <w:u w:val="single"/>
    </w:rPr>
  </w:style>
  <w:style w:type="character" w:styleId="FollowedHyperlink">
    <w:name w:val="FollowedHyperlink"/>
    <w:basedOn w:val="DefaultParagraphFont"/>
    <w:uiPriority w:val="99"/>
    <w:semiHidden/>
    <w:unhideWhenUsed/>
    <w:rsid w:val="00116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480C-5023-42DD-8508-AE84AF99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3B71BBC7</Template>
  <TotalTime>1</TotalTime>
  <Pages>2</Pages>
  <Words>623</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Lisa - ST EODD</dc:creator>
  <cp:lastModifiedBy>Carty, Christine - ST PC</cp:lastModifiedBy>
  <cp:revision>2</cp:revision>
  <dcterms:created xsi:type="dcterms:W3CDTF">2019-09-24T08:56:00Z</dcterms:created>
  <dcterms:modified xsi:type="dcterms:W3CDTF">2019-09-24T08:56:00Z</dcterms:modified>
</cp:coreProperties>
</file>