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1B" w:rsidRPr="00A72C1B" w:rsidRDefault="00FD0F1B" w:rsidP="00D62912">
      <w:pPr>
        <w:jc w:val="both"/>
        <w:rPr>
          <w:sz w:val="20"/>
          <w:szCs w:val="20"/>
        </w:rPr>
      </w:pPr>
      <w:bookmarkStart w:id="0" w:name="_GoBack"/>
      <w:bookmarkEnd w:id="0"/>
    </w:p>
    <w:p w:rsidR="003E6140" w:rsidRPr="00A72C1B" w:rsidRDefault="003E6140" w:rsidP="00D62912">
      <w:pPr>
        <w:jc w:val="both"/>
        <w:rPr>
          <w:sz w:val="20"/>
          <w:szCs w:val="20"/>
        </w:rPr>
      </w:pPr>
    </w:p>
    <w:tbl>
      <w:tblPr>
        <w:tblStyle w:val="TableGrid"/>
        <w:tblW w:w="0" w:type="auto"/>
        <w:tblLook w:val="04A0" w:firstRow="1" w:lastRow="0" w:firstColumn="1" w:lastColumn="0" w:noHBand="0" w:noVBand="1"/>
      </w:tblPr>
      <w:tblGrid>
        <w:gridCol w:w="9242"/>
      </w:tblGrid>
      <w:tr w:rsidR="003E6140" w:rsidRPr="00A72C1B" w:rsidTr="003E6140">
        <w:tc>
          <w:tcPr>
            <w:tcW w:w="9242" w:type="dxa"/>
          </w:tcPr>
          <w:p w:rsidR="00EF3A47" w:rsidRDefault="003E6140" w:rsidP="00D62912">
            <w:pPr>
              <w:jc w:val="both"/>
              <w:rPr>
                <w:rFonts w:cs="Arial"/>
                <w:b/>
                <w:color w:val="000000" w:themeColor="text1"/>
                <w:sz w:val="22"/>
                <w:szCs w:val="20"/>
              </w:rPr>
            </w:pPr>
            <w:r w:rsidRPr="00A72C1B">
              <w:rPr>
                <w:rFonts w:cs="Arial"/>
                <w:b/>
                <w:color w:val="000000" w:themeColor="text1"/>
                <w:sz w:val="22"/>
                <w:szCs w:val="20"/>
              </w:rPr>
              <w:t>Please describe what steps you take to identify vulnerable learners within your school, setting or community</w:t>
            </w:r>
            <w:r w:rsidR="008450FE" w:rsidRPr="00A72C1B">
              <w:rPr>
                <w:rFonts w:cs="Arial"/>
                <w:b/>
                <w:color w:val="000000" w:themeColor="text1"/>
                <w:sz w:val="22"/>
                <w:szCs w:val="20"/>
              </w:rPr>
              <w:t>.</w:t>
            </w:r>
          </w:p>
          <w:p w:rsidR="00A72C1B" w:rsidRPr="00A72C1B" w:rsidRDefault="00A72C1B" w:rsidP="00D62912">
            <w:pPr>
              <w:jc w:val="both"/>
              <w:rPr>
                <w:rFonts w:cs="Arial"/>
                <w:b/>
                <w:color w:val="000000" w:themeColor="text1"/>
                <w:sz w:val="22"/>
                <w:szCs w:val="20"/>
              </w:rPr>
            </w:pPr>
          </w:p>
          <w:p w:rsidR="00EF3A47" w:rsidRPr="00A72C1B" w:rsidRDefault="008450FE" w:rsidP="00D62912">
            <w:pPr>
              <w:jc w:val="both"/>
              <w:rPr>
                <w:rFonts w:cs="Arial"/>
                <w:color w:val="000000" w:themeColor="text1"/>
                <w:sz w:val="20"/>
                <w:szCs w:val="20"/>
              </w:rPr>
            </w:pPr>
            <w:r w:rsidRPr="00A72C1B">
              <w:rPr>
                <w:rFonts w:cs="Arial"/>
                <w:color w:val="000000" w:themeColor="text1"/>
                <w:sz w:val="20"/>
                <w:szCs w:val="20"/>
              </w:rPr>
              <w:t xml:space="preserve">Pupils are initially identified by accessing the </w:t>
            </w:r>
            <w:r w:rsidR="00B44BE7" w:rsidRPr="00A72C1B">
              <w:rPr>
                <w:rFonts w:cs="Arial"/>
                <w:i/>
                <w:color w:val="000000" w:themeColor="text1"/>
                <w:sz w:val="20"/>
                <w:szCs w:val="20"/>
              </w:rPr>
              <w:t>Key</w:t>
            </w:r>
            <w:r w:rsidRPr="00A72C1B">
              <w:rPr>
                <w:rFonts w:cs="Arial"/>
                <w:i/>
                <w:color w:val="000000" w:themeColor="text1"/>
                <w:sz w:val="20"/>
                <w:szCs w:val="20"/>
              </w:rPr>
              <w:t xml:space="preserve"> to Success</w:t>
            </w:r>
            <w:r w:rsidRPr="00A72C1B">
              <w:rPr>
                <w:rFonts w:cs="Arial"/>
                <w:color w:val="000000" w:themeColor="text1"/>
                <w:sz w:val="20"/>
                <w:szCs w:val="20"/>
              </w:rPr>
              <w:t xml:space="preserve"> website in order to see which pupils have been eligible for Pupil Premium Grant funding at any point over the past six years.  This data is cross-checked with prior KS2 data to identify </w:t>
            </w:r>
            <w:r w:rsidR="007F58C0" w:rsidRPr="00A72C1B">
              <w:rPr>
                <w:rFonts w:cs="Arial"/>
                <w:color w:val="000000" w:themeColor="text1"/>
                <w:sz w:val="20"/>
                <w:szCs w:val="20"/>
              </w:rPr>
              <w:t>pupils</w:t>
            </w:r>
            <w:r w:rsidRPr="00A72C1B">
              <w:rPr>
                <w:rFonts w:cs="Arial"/>
                <w:color w:val="000000" w:themeColor="text1"/>
                <w:sz w:val="20"/>
                <w:szCs w:val="20"/>
              </w:rPr>
              <w:t xml:space="preserve"> who are either </w:t>
            </w:r>
            <w:r w:rsidR="001B6F76" w:rsidRPr="00A72C1B">
              <w:rPr>
                <w:rFonts w:cs="Arial"/>
                <w:color w:val="000000" w:themeColor="text1"/>
                <w:sz w:val="20"/>
                <w:szCs w:val="20"/>
              </w:rPr>
              <w:t>high-</w:t>
            </w:r>
            <w:r w:rsidRPr="00A72C1B">
              <w:rPr>
                <w:rFonts w:cs="Arial"/>
                <w:color w:val="000000" w:themeColor="text1"/>
                <w:sz w:val="20"/>
                <w:szCs w:val="20"/>
              </w:rPr>
              <w:t>ability pupils</w:t>
            </w:r>
            <w:r w:rsidR="007F58C0" w:rsidRPr="00A72C1B">
              <w:rPr>
                <w:rFonts w:cs="Arial"/>
                <w:color w:val="000000" w:themeColor="text1"/>
                <w:sz w:val="20"/>
                <w:szCs w:val="20"/>
              </w:rPr>
              <w:t xml:space="preserve"> or low-attaining, vulnerable pupils among them</w:t>
            </w:r>
            <w:r w:rsidR="00B44BE7" w:rsidRPr="00A72C1B">
              <w:rPr>
                <w:rFonts w:cs="Arial"/>
                <w:color w:val="000000" w:themeColor="text1"/>
                <w:sz w:val="20"/>
                <w:szCs w:val="20"/>
              </w:rPr>
              <w:t>.  In addition to this, we put al</w:t>
            </w:r>
            <w:r w:rsidR="007F79B0" w:rsidRPr="00A72C1B">
              <w:rPr>
                <w:rFonts w:cs="Arial"/>
                <w:color w:val="000000" w:themeColor="text1"/>
                <w:sz w:val="20"/>
                <w:szCs w:val="20"/>
              </w:rPr>
              <w:t>l our Year 7 pupils through CAT tests on arrival at The Malling School (TMS)</w:t>
            </w:r>
            <w:r w:rsidR="00B44BE7" w:rsidRPr="00A72C1B">
              <w:rPr>
                <w:rFonts w:cs="Arial"/>
                <w:color w:val="000000" w:themeColor="text1"/>
                <w:sz w:val="20"/>
                <w:szCs w:val="20"/>
              </w:rPr>
              <w:t xml:space="preserve">.  The combination of these measures allows us to benchmark pupils’ starting points.  Before Year 7 pupils start in September we hold parental meetings as well as transition </w:t>
            </w:r>
            <w:r w:rsidR="007F79B0" w:rsidRPr="00A72C1B">
              <w:rPr>
                <w:rFonts w:cs="Arial"/>
                <w:color w:val="000000" w:themeColor="text1"/>
                <w:sz w:val="20"/>
                <w:szCs w:val="20"/>
              </w:rPr>
              <w:t>meetings with the SENCO from TMS</w:t>
            </w:r>
            <w:r w:rsidR="009D70F3" w:rsidRPr="00A72C1B">
              <w:rPr>
                <w:rFonts w:cs="Arial"/>
                <w:color w:val="000000" w:themeColor="text1"/>
                <w:sz w:val="20"/>
                <w:szCs w:val="20"/>
              </w:rPr>
              <w:t xml:space="preserve"> and our primary feeder schools to ensure that vulnerable pupils are identified and appropriate support is put in place for them </w:t>
            </w:r>
            <w:r w:rsidR="007F79B0" w:rsidRPr="00A72C1B">
              <w:rPr>
                <w:rFonts w:cs="Arial"/>
                <w:color w:val="000000" w:themeColor="text1"/>
                <w:sz w:val="20"/>
                <w:szCs w:val="20"/>
              </w:rPr>
              <w:t>before they arrive</w:t>
            </w:r>
            <w:r w:rsidR="009D70F3" w:rsidRPr="00A72C1B">
              <w:rPr>
                <w:rFonts w:cs="Arial"/>
                <w:color w:val="000000" w:themeColor="text1"/>
                <w:sz w:val="20"/>
                <w:szCs w:val="20"/>
              </w:rPr>
              <w:t>.</w:t>
            </w:r>
            <w:r w:rsidR="007F79B0" w:rsidRPr="00A72C1B">
              <w:rPr>
                <w:rFonts w:cs="Arial"/>
                <w:color w:val="000000" w:themeColor="text1"/>
                <w:sz w:val="20"/>
                <w:szCs w:val="20"/>
              </w:rPr>
              <w:t xml:space="preserve">  All pupils attending the attached Resource</w:t>
            </w:r>
            <w:r w:rsidR="00201213">
              <w:rPr>
                <w:rFonts w:cs="Arial"/>
                <w:color w:val="000000" w:themeColor="text1"/>
                <w:sz w:val="20"/>
                <w:szCs w:val="20"/>
              </w:rPr>
              <w:t>d</w:t>
            </w:r>
            <w:r w:rsidR="007F79B0" w:rsidRPr="00A72C1B">
              <w:rPr>
                <w:rFonts w:cs="Arial"/>
                <w:color w:val="000000" w:themeColor="text1"/>
                <w:sz w:val="20"/>
                <w:szCs w:val="20"/>
              </w:rPr>
              <w:t xml:space="preserve"> Provision are considered vulnerable and transition work starts with them at the start of Year 6.</w:t>
            </w:r>
          </w:p>
          <w:p w:rsidR="003E6140" w:rsidRPr="00A72C1B" w:rsidRDefault="003E6140" w:rsidP="00D62912">
            <w:pPr>
              <w:jc w:val="both"/>
              <w:rPr>
                <w:sz w:val="20"/>
                <w:szCs w:val="20"/>
              </w:rPr>
            </w:pPr>
          </w:p>
          <w:p w:rsidR="003E6140" w:rsidRDefault="003E6140" w:rsidP="00D62912">
            <w:pPr>
              <w:jc w:val="both"/>
              <w:rPr>
                <w:rFonts w:cs="Arial"/>
                <w:b/>
                <w:color w:val="000000" w:themeColor="text1"/>
                <w:sz w:val="22"/>
                <w:szCs w:val="20"/>
              </w:rPr>
            </w:pPr>
            <w:r w:rsidRPr="00A72C1B">
              <w:rPr>
                <w:rFonts w:cs="Arial"/>
                <w:b/>
                <w:color w:val="000000" w:themeColor="text1"/>
                <w:sz w:val="22"/>
                <w:szCs w:val="20"/>
              </w:rPr>
              <w:t>What challenges does your school, setting or community face in supporting vulnerable learners?</w:t>
            </w:r>
          </w:p>
          <w:p w:rsidR="00A72C1B" w:rsidRPr="00A72C1B" w:rsidRDefault="00A72C1B" w:rsidP="00D62912">
            <w:pPr>
              <w:jc w:val="both"/>
              <w:rPr>
                <w:rFonts w:cs="Arial"/>
                <w:b/>
                <w:color w:val="000000" w:themeColor="text1"/>
                <w:sz w:val="22"/>
                <w:szCs w:val="20"/>
              </w:rPr>
            </w:pPr>
          </w:p>
          <w:p w:rsidR="008450FE" w:rsidRPr="00A72C1B" w:rsidRDefault="001B6F76" w:rsidP="00D62912">
            <w:pPr>
              <w:jc w:val="both"/>
              <w:rPr>
                <w:rFonts w:cs="Arial"/>
                <w:color w:val="000000" w:themeColor="text1"/>
                <w:sz w:val="20"/>
                <w:szCs w:val="20"/>
              </w:rPr>
            </w:pPr>
            <w:r w:rsidRPr="00A72C1B">
              <w:rPr>
                <w:rFonts w:cs="Arial"/>
                <w:color w:val="000000" w:themeColor="text1"/>
                <w:sz w:val="20"/>
                <w:szCs w:val="20"/>
              </w:rPr>
              <w:t>Overall, p</w:t>
            </w:r>
            <w:r w:rsidR="003F7260" w:rsidRPr="00A72C1B">
              <w:rPr>
                <w:rFonts w:cs="Arial"/>
                <w:color w:val="000000" w:themeColor="text1"/>
                <w:sz w:val="20"/>
                <w:szCs w:val="20"/>
              </w:rPr>
              <w:t>upils at TMS have well below average abi</w:t>
            </w:r>
            <w:r w:rsidRPr="00A72C1B">
              <w:rPr>
                <w:rFonts w:cs="Arial"/>
                <w:color w:val="000000" w:themeColor="text1"/>
                <w:sz w:val="20"/>
                <w:szCs w:val="20"/>
              </w:rPr>
              <w:t xml:space="preserve">lity on entry into KS3.  There has been a history of poor parental engagement and subsequent low aspirations among </w:t>
            </w:r>
            <w:r w:rsidR="005573CD" w:rsidRPr="00A72C1B">
              <w:rPr>
                <w:rFonts w:cs="Arial"/>
                <w:color w:val="000000" w:themeColor="text1"/>
                <w:sz w:val="20"/>
                <w:szCs w:val="20"/>
              </w:rPr>
              <w:t xml:space="preserve">both </w:t>
            </w:r>
            <w:r w:rsidRPr="00A72C1B">
              <w:rPr>
                <w:rFonts w:cs="Arial"/>
                <w:color w:val="000000" w:themeColor="text1"/>
                <w:sz w:val="20"/>
                <w:szCs w:val="20"/>
              </w:rPr>
              <w:t xml:space="preserve">our </w:t>
            </w:r>
            <w:r w:rsidR="005573CD" w:rsidRPr="00A72C1B">
              <w:rPr>
                <w:rFonts w:cs="Arial"/>
                <w:color w:val="000000" w:themeColor="text1"/>
                <w:sz w:val="20"/>
                <w:szCs w:val="20"/>
              </w:rPr>
              <w:t xml:space="preserve">parents and </w:t>
            </w:r>
            <w:r w:rsidRPr="00A72C1B">
              <w:rPr>
                <w:rFonts w:cs="Arial"/>
                <w:color w:val="000000" w:themeColor="text1"/>
                <w:sz w:val="20"/>
                <w:szCs w:val="20"/>
              </w:rPr>
              <w:t xml:space="preserve">pupils.  The immediate area of East Malling has very high levels of social deprivation within both Kent and </w:t>
            </w:r>
            <w:r w:rsidR="005573CD" w:rsidRPr="00A72C1B">
              <w:rPr>
                <w:rFonts w:cs="Arial"/>
                <w:color w:val="000000" w:themeColor="text1"/>
                <w:sz w:val="20"/>
                <w:szCs w:val="20"/>
              </w:rPr>
              <w:t>England</w:t>
            </w:r>
            <w:r w:rsidRPr="00A72C1B">
              <w:rPr>
                <w:rFonts w:cs="Arial"/>
                <w:color w:val="000000" w:themeColor="text1"/>
                <w:sz w:val="20"/>
                <w:szCs w:val="20"/>
              </w:rPr>
              <w:t>.  There has been a history of pupils entering TMS in Year 7 with levels of SEN that are well above the national average.</w:t>
            </w:r>
            <w:r w:rsidR="007F79B0" w:rsidRPr="00A72C1B">
              <w:rPr>
                <w:rFonts w:cs="Arial"/>
                <w:color w:val="000000" w:themeColor="text1"/>
                <w:sz w:val="20"/>
                <w:szCs w:val="20"/>
              </w:rPr>
              <w:t xml:space="preserve">  The school has a Resourced Provision for pupils statemented for ASD or SpLCN (The Tydeman Centre) and admits around 20 pupils per year into this provision.   A significant proportion of pupils in the school are therefore considered to be vulnerable learners.</w:t>
            </w:r>
          </w:p>
          <w:p w:rsidR="001B6F76" w:rsidRPr="00A72C1B" w:rsidRDefault="001B6F76" w:rsidP="00D62912">
            <w:pPr>
              <w:jc w:val="both"/>
              <w:rPr>
                <w:rFonts w:cs="Arial"/>
                <w:color w:val="000000" w:themeColor="text1"/>
                <w:sz w:val="20"/>
                <w:szCs w:val="20"/>
              </w:rPr>
            </w:pPr>
            <w:r w:rsidRPr="00A72C1B">
              <w:rPr>
                <w:rFonts w:cs="Arial"/>
                <w:color w:val="000000" w:themeColor="text1"/>
                <w:sz w:val="20"/>
                <w:szCs w:val="20"/>
              </w:rPr>
              <w:t xml:space="preserve">As a result of many of these factors, we have had a number of </w:t>
            </w:r>
            <w:r w:rsidRPr="00A72C1B">
              <w:rPr>
                <w:rFonts w:cs="Arial"/>
                <w:i/>
                <w:color w:val="000000" w:themeColor="text1"/>
                <w:sz w:val="20"/>
                <w:szCs w:val="20"/>
              </w:rPr>
              <w:t>hard-to-reach</w:t>
            </w:r>
            <w:r w:rsidRPr="00A72C1B">
              <w:rPr>
                <w:rFonts w:cs="Arial"/>
                <w:color w:val="000000" w:themeColor="text1"/>
                <w:sz w:val="20"/>
                <w:szCs w:val="20"/>
              </w:rPr>
              <w:t xml:space="preserve"> pupils who have not responded positively to the support and intervention we implement at TMS throughout their secondary school career.  Due to the fact that we have historically been a small school it only takes a small number of these </w:t>
            </w:r>
            <w:r w:rsidRPr="00A72C1B">
              <w:rPr>
                <w:rFonts w:cs="Arial"/>
                <w:i/>
                <w:color w:val="000000" w:themeColor="text1"/>
                <w:sz w:val="20"/>
                <w:szCs w:val="20"/>
              </w:rPr>
              <w:t>hard-to-reach</w:t>
            </w:r>
            <w:r w:rsidRPr="00A72C1B">
              <w:rPr>
                <w:rFonts w:cs="Arial"/>
                <w:color w:val="000000" w:themeColor="text1"/>
                <w:sz w:val="20"/>
                <w:szCs w:val="20"/>
              </w:rPr>
              <w:t xml:space="preserve"> pupils to have a detrimental</w:t>
            </w:r>
            <w:r w:rsidR="007F79B0" w:rsidRPr="00A72C1B">
              <w:rPr>
                <w:rFonts w:cs="Arial"/>
                <w:color w:val="000000" w:themeColor="text1"/>
                <w:sz w:val="20"/>
                <w:szCs w:val="20"/>
              </w:rPr>
              <w:t xml:space="preserve"> impact on our attainment gap.   For example, removing just four hard-to-reach pupils from the data reduces the attainment gap between disadvantaged and non-disadvantaged pupils by a third of grade, leaving a negligible difference between the cohorts.</w:t>
            </w:r>
          </w:p>
          <w:p w:rsidR="008450FE" w:rsidRPr="00A72C1B" w:rsidRDefault="008450FE" w:rsidP="00D62912">
            <w:pPr>
              <w:jc w:val="both"/>
              <w:rPr>
                <w:rFonts w:cs="Arial"/>
                <w:b/>
                <w:color w:val="000000" w:themeColor="text1"/>
                <w:sz w:val="20"/>
                <w:szCs w:val="20"/>
              </w:rPr>
            </w:pPr>
          </w:p>
          <w:p w:rsidR="003E6140" w:rsidRDefault="003E6140" w:rsidP="00D62912">
            <w:pPr>
              <w:jc w:val="both"/>
              <w:rPr>
                <w:rFonts w:cs="Arial"/>
                <w:b/>
                <w:color w:val="000000" w:themeColor="text1"/>
                <w:sz w:val="22"/>
                <w:szCs w:val="20"/>
              </w:rPr>
            </w:pPr>
            <w:r w:rsidRPr="00A72C1B">
              <w:rPr>
                <w:rFonts w:cs="Arial"/>
                <w:b/>
                <w:color w:val="000000" w:themeColor="text1"/>
                <w:sz w:val="22"/>
                <w:szCs w:val="20"/>
              </w:rPr>
              <w:t>How do you work with the community and other schools/settings to identify and support vulnerable learners?</w:t>
            </w:r>
          </w:p>
          <w:p w:rsidR="00A72C1B" w:rsidRPr="00A72C1B" w:rsidRDefault="00A72C1B" w:rsidP="00D62912">
            <w:pPr>
              <w:jc w:val="both"/>
              <w:rPr>
                <w:rFonts w:cs="Arial"/>
                <w:b/>
                <w:color w:val="000000" w:themeColor="text1"/>
                <w:sz w:val="22"/>
                <w:szCs w:val="20"/>
              </w:rPr>
            </w:pPr>
          </w:p>
          <w:p w:rsidR="00D62912" w:rsidRPr="00A72C1B" w:rsidRDefault="007F79B0" w:rsidP="00D62912">
            <w:pPr>
              <w:jc w:val="both"/>
              <w:rPr>
                <w:rFonts w:cs="Arial"/>
                <w:color w:val="000000" w:themeColor="text1"/>
                <w:sz w:val="20"/>
                <w:szCs w:val="20"/>
              </w:rPr>
            </w:pPr>
            <w:r w:rsidRPr="00A72C1B">
              <w:rPr>
                <w:rFonts w:cs="Arial"/>
                <w:color w:val="000000" w:themeColor="text1"/>
                <w:sz w:val="20"/>
                <w:szCs w:val="20"/>
              </w:rPr>
              <w:t xml:space="preserve">Representatives from the school attend East Malling Partnership </w:t>
            </w:r>
            <w:r w:rsidR="00D66453" w:rsidRPr="00A72C1B">
              <w:rPr>
                <w:rFonts w:cs="Arial"/>
                <w:color w:val="000000" w:themeColor="text1"/>
                <w:sz w:val="20"/>
                <w:szCs w:val="20"/>
              </w:rPr>
              <w:t>meetings where key members of the community and the main agencies working within the community discuss vulnerable children and their families.</w:t>
            </w:r>
          </w:p>
          <w:p w:rsidR="00D62912" w:rsidRPr="00A72C1B" w:rsidRDefault="00D62912" w:rsidP="00D62912">
            <w:pPr>
              <w:jc w:val="both"/>
              <w:rPr>
                <w:rFonts w:cs="Arial"/>
                <w:color w:val="000000" w:themeColor="text1"/>
                <w:sz w:val="20"/>
                <w:szCs w:val="20"/>
              </w:rPr>
            </w:pPr>
            <w:r w:rsidRPr="00A72C1B">
              <w:rPr>
                <w:rFonts w:cs="Arial"/>
                <w:color w:val="000000" w:themeColor="text1"/>
                <w:sz w:val="20"/>
                <w:szCs w:val="20"/>
              </w:rPr>
              <w:t>Pupils who enter KS3 with reading ages that are below their chronological age are assigned a Reading Partner.  Many of these pupils are also vulnerable and disadvantaged pupils.  Our Reading Partners are both existing school staff at every level and parent volunteers.</w:t>
            </w:r>
          </w:p>
          <w:p w:rsidR="008450FE" w:rsidRPr="00A72C1B" w:rsidRDefault="00D62912" w:rsidP="00D62912">
            <w:pPr>
              <w:jc w:val="both"/>
              <w:rPr>
                <w:rFonts w:cs="Arial"/>
                <w:color w:val="000000" w:themeColor="text1"/>
                <w:sz w:val="20"/>
                <w:szCs w:val="20"/>
              </w:rPr>
            </w:pPr>
            <w:r w:rsidRPr="00A72C1B">
              <w:rPr>
                <w:rFonts w:cs="Arial"/>
                <w:color w:val="000000" w:themeColor="text1"/>
                <w:sz w:val="20"/>
                <w:szCs w:val="20"/>
              </w:rPr>
              <w:t xml:space="preserve">At TMS we have established Science and English Transition Projects </w:t>
            </w:r>
            <w:r w:rsidR="009D70F3" w:rsidRPr="00A72C1B">
              <w:rPr>
                <w:rFonts w:cs="Arial"/>
                <w:color w:val="000000" w:themeColor="text1"/>
                <w:sz w:val="20"/>
                <w:szCs w:val="20"/>
              </w:rPr>
              <w:t>that</w:t>
            </w:r>
            <w:r w:rsidRPr="00A72C1B">
              <w:rPr>
                <w:rFonts w:cs="Arial"/>
                <w:color w:val="000000" w:themeColor="text1"/>
                <w:sz w:val="20"/>
                <w:szCs w:val="20"/>
              </w:rPr>
              <w:t xml:space="preserve"> work with our two</w:t>
            </w:r>
            <w:r w:rsidR="009D70F3" w:rsidRPr="00A72C1B">
              <w:rPr>
                <w:rFonts w:cs="Arial"/>
                <w:color w:val="000000" w:themeColor="text1"/>
                <w:sz w:val="20"/>
                <w:szCs w:val="20"/>
              </w:rPr>
              <w:t xml:space="preserve"> biggest feeder primary schools in order to ensure smooth curriculum transition for all pupils, </w:t>
            </w:r>
            <w:r w:rsidR="00D66453" w:rsidRPr="00A72C1B">
              <w:rPr>
                <w:rFonts w:cs="Arial"/>
                <w:color w:val="000000" w:themeColor="text1"/>
                <w:sz w:val="20"/>
                <w:szCs w:val="20"/>
              </w:rPr>
              <w:t>as these two schools tend to bring the biggest proportion of vulnerable pupils.</w:t>
            </w:r>
          </w:p>
          <w:p w:rsidR="009D70F3" w:rsidRPr="00A72C1B" w:rsidRDefault="009D70F3" w:rsidP="00D62912">
            <w:pPr>
              <w:jc w:val="both"/>
              <w:rPr>
                <w:rFonts w:cs="Arial"/>
                <w:b/>
                <w:color w:val="000000" w:themeColor="text1"/>
                <w:sz w:val="20"/>
                <w:szCs w:val="20"/>
              </w:rPr>
            </w:pPr>
            <w:r w:rsidRPr="00A72C1B">
              <w:rPr>
                <w:rFonts w:cs="Arial"/>
                <w:color w:val="000000" w:themeColor="text1"/>
                <w:sz w:val="20"/>
                <w:szCs w:val="20"/>
              </w:rPr>
              <w:t xml:space="preserve">We have a dedicated team of KS5 Performing Arts pupils who undertake regular primary school visits to our main feeder schools in order to develop positive relationships with our new KS3 pupils.  This also helps to identify and support any vulnerable learners before they start at TMS. </w:t>
            </w:r>
          </w:p>
          <w:p w:rsidR="003E6140" w:rsidRPr="00A72C1B" w:rsidRDefault="003E6140" w:rsidP="00D62912">
            <w:pPr>
              <w:jc w:val="both"/>
              <w:rPr>
                <w:sz w:val="20"/>
                <w:szCs w:val="20"/>
              </w:rPr>
            </w:pPr>
          </w:p>
          <w:p w:rsidR="003E6140" w:rsidRDefault="003E6140" w:rsidP="00D62912">
            <w:pPr>
              <w:jc w:val="both"/>
              <w:rPr>
                <w:rFonts w:cs="Arial"/>
                <w:b/>
                <w:color w:val="000000" w:themeColor="text1"/>
                <w:sz w:val="22"/>
                <w:szCs w:val="20"/>
              </w:rPr>
            </w:pPr>
            <w:r w:rsidRPr="00A72C1B">
              <w:rPr>
                <w:rFonts w:cs="Arial"/>
                <w:b/>
                <w:color w:val="000000" w:themeColor="text1"/>
                <w:sz w:val="22"/>
                <w:szCs w:val="20"/>
              </w:rPr>
              <w:t>How does the culture and leadership of your school/setting support vulnerable learners to reach their potential?</w:t>
            </w:r>
          </w:p>
          <w:p w:rsidR="00A72C1B" w:rsidRPr="00A72C1B" w:rsidRDefault="00A72C1B" w:rsidP="00D62912">
            <w:pPr>
              <w:jc w:val="both"/>
              <w:rPr>
                <w:rFonts w:cs="Arial"/>
                <w:b/>
                <w:color w:val="000000" w:themeColor="text1"/>
                <w:sz w:val="22"/>
                <w:szCs w:val="20"/>
              </w:rPr>
            </w:pPr>
          </w:p>
          <w:p w:rsidR="00FF1828" w:rsidRPr="00A72C1B" w:rsidRDefault="00D66453" w:rsidP="00FF1828">
            <w:pPr>
              <w:shd w:val="clear" w:color="auto" w:fill="FFFFFF"/>
              <w:jc w:val="both"/>
              <w:outlineLvl w:val="2"/>
              <w:rPr>
                <w:rFonts w:cs="Arial"/>
                <w:sz w:val="20"/>
                <w:szCs w:val="20"/>
              </w:rPr>
            </w:pPr>
            <w:r w:rsidRPr="00A72C1B">
              <w:rPr>
                <w:rFonts w:cs="Arial"/>
                <w:sz w:val="20"/>
                <w:szCs w:val="20"/>
              </w:rPr>
              <w:t xml:space="preserve">Our school literature outlines this with the following: </w:t>
            </w:r>
            <w:r w:rsidR="00FF1828" w:rsidRPr="00A72C1B">
              <w:rPr>
                <w:rFonts w:cs="Arial"/>
                <w:sz w:val="20"/>
                <w:szCs w:val="20"/>
              </w:rPr>
              <w:t>At TMS we believe in supporting every individual to achieve his or her dreams. We expect our pupils to work hard and have ambitions, to strive for their best and never give up, whatever life throws at them. We use the mantra “No excuses”.</w:t>
            </w:r>
          </w:p>
          <w:p w:rsidR="00FF1828" w:rsidRPr="00A72C1B" w:rsidRDefault="00FF1828" w:rsidP="00FF1828">
            <w:pPr>
              <w:shd w:val="clear" w:color="auto" w:fill="FFFFFF"/>
              <w:jc w:val="both"/>
              <w:outlineLvl w:val="2"/>
              <w:rPr>
                <w:rFonts w:cs="Arial"/>
                <w:sz w:val="20"/>
                <w:szCs w:val="20"/>
              </w:rPr>
            </w:pPr>
            <w:r w:rsidRPr="00A72C1B">
              <w:rPr>
                <w:rFonts w:cs="Arial"/>
                <w:sz w:val="20"/>
                <w:szCs w:val="20"/>
              </w:rPr>
              <w:t xml:space="preserve">Our school is built on traditional values where mutual respect is developed between pupils and staff. </w:t>
            </w:r>
            <w:r w:rsidRPr="00A72C1B">
              <w:rPr>
                <w:rFonts w:cs="Arial"/>
                <w:sz w:val="20"/>
                <w:szCs w:val="20"/>
              </w:rPr>
              <w:lastRenderedPageBreak/>
              <w:t>We expect pupils to be polite and courteous and to take a pride in their work and their school. This is what we call ‘The Malling School Way’.</w:t>
            </w:r>
          </w:p>
          <w:p w:rsidR="00FF1828" w:rsidRPr="00A72C1B" w:rsidRDefault="00FF1828" w:rsidP="00FF1828">
            <w:pPr>
              <w:shd w:val="clear" w:color="auto" w:fill="FFFFFF"/>
              <w:spacing w:line="270" w:lineRule="atLeast"/>
              <w:jc w:val="both"/>
              <w:rPr>
                <w:rFonts w:cs="Arial"/>
                <w:sz w:val="20"/>
                <w:szCs w:val="20"/>
              </w:rPr>
            </w:pPr>
            <w:r w:rsidRPr="00A72C1B">
              <w:rPr>
                <w:rFonts w:cs="Arial"/>
                <w:sz w:val="20"/>
                <w:szCs w:val="20"/>
              </w:rPr>
              <w:t xml:space="preserve">On joining the school every member of staff commits to deliver the very best education to our pupils. This means ensuring that the most </w:t>
            </w:r>
            <w:r w:rsidR="00EF3A47" w:rsidRPr="00A72C1B">
              <w:rPr>
                <w:rFonts w:cs="Arial"/>
                <w:sz w:val="20"/>
                <w:szCs w:val="20"/>
              </w:rPr>
              <w:t>able are stretched whilst other more vulnerable pupils</w:t>
            </w:r>
            <w:r w:rsidRPr="00A72C1B">
              <w:rPr>
                <w:rFonts w:cs="Arial"/>
                <w:sz w:val="20"/>
                <w:szCs w:val="20"/>
              </w:rPr>
              <w:t xml:space="preserve"> are given more support. It means developing a personalised curriculum that meets the needs and aspirations of each one of our pupils so that even the most ambitious dreams can be rea</w:t>
            </w:r>
            <w:r w:rsidR="00EF3A47" w:rsidRPr="00A72C1B">
              <w:rPr>
                <w:rFonts w:cs="Arial"/>
                <w:sz w:val="20"/>
                <w:szCs w:val="20"/>
              </w:rPr>
              <w:t>lised by all pupils, whether they are vulnerable and disadvantaged or not.</w:t>
            </w:r>
          </w:p>
          <w:p w:rsidR="008450FE" w:rsidRPr="00A72C1B" w:rsidRDefault="008450FE" w:rsidP="00D62912">
            <w:pPr>
              <w:jc w:val="both"/>
              <w:rPr>
                <w:sz w:val="20"/>
                <w:szCs w:val="20"/>
              </w:rPr>
            </w:pPr>
          </w:p>
          <w:p w:rsidR="003E6140" w:rsidRDefault="003E6140" w:rsidP="00D62912">
            <w:pPr>
              <w:jc w:val="both"/>
              <w:rPr>
                <w:rFonts w:cs="Arial"/>
                <w:b/>
                <w:color w:val="000000" w:themeColor="text1"/>
                <w:sz w:val="22"/>
                <w:szCs w:val="20"/>
              </w:rPr>
            </w:pPr>
            <w:r w:rsidRPr="00A72C1B">
              <w:rPr>
                <w:rFonts w:cs="Arial"/>
                <w:b/>
                <w:color w:val="000000" w:themeColor="text1"/>
                <w:sz w:val="22"/>
                <w:szCs w:val="20"/>
              </w:rPr>
              <w:t>What activities, programmes or interventions have you embedded to support vulnerable learners to ensure they reach their potential?</w:t>
            </w:r>
          </w:p>
          <w:p w:rsidR="00A72C1B" w:rsidRPr="00A72C1B" w:rsidRDefault="00A72C1B" w:rsidP="00D62912">
            <w:pPr>
              <w:jc w:val="both"/>
              <w:rPr>
                <w:rFonts w:cs="Arial"/>
                <w:b/>
                <w:color w:val="000000" w:themeColor="text1"/>
                <w:sz w:val="22"/>
                <w:szCs w:val="20"/>
              </w:rPr>
            </w:pPr>
          </w:p>
          <w:p w:rsidR="00EF3A47" w:rsidRPr="00A72C1B" w:rsidRDefault="00EF3A47" w:rsidP="00D55CC9">
            <w:pPr>
              <w:jc w:val="both"/>
              <w:rPr>
                <w:rFonts w:cs="Arial"/>
                <w:sz w:val="20"/>
                <w:szCs w:val="20"/>
              </w:rPr>
            </w:pPr>
            <w:r w:rsidRPr="00A72C1B">
              <w:rPr>
                <w:rFonts w:cs="Arial"/>
                <w:bCs/>
                <w:sz w:val="20"/>
                <w:szCs w:val="20"/>
              </w:rPr>
              <w:t>The range of activities, programmes and intervention we have embedded at TMS to support all learners, vulnerable pupils among them, in order to ensure they reach their potential are:</w:t>
            </w:r>
            <w:r w:rsidRPr="00A72C1B">
              <w:rPr>
                <w:rFonts w:cs="Arial"/>
                <w:sz w:val="20"/>
                <w:szCs w:val="20"/>
              </w:rPr>
              <w:t xml:space="preserve"> Duke of Edinburgh Bronze Award; Careers Education, Information, Advice and Guidance (CEIAG) Officer; Learning Support (SEN) Transition; KS2-3 Transition Group &amp; Officer; Curriculum Support; Achievement for All; School Counsellor; 1:Few tuition; Vice Principal and Guidance Manager; Hardship Fund; Alternative Curriculum; Minority Communities Achievement Service (MCAS); Educational Psychology Services; Music lessons subsidy; After-school and Saturday morning/holiday revision sessions; College courses; Partners in Excellence Club (PiXL); Learning Support Assistants; GO 4 Schools; At</w:t>
            </w:r>
            <w:r w:rsidR="00D66453" w:rsidRPr="00A72C1B">
              <w:rPr>
                <w:rFonts w:cs="Arial"/>
                <w:sz w:val="20"/>
                <w:szCs w:val="20"/>
              </w:rPr>
              <w:t>tendance Officer; Summer School; Transition group; Tydeman Centre.</w:t>
            </w:r>
          </w:p>
          <w:p w:rsidR="008450FE" w:rsidRPr="00A72C1B" w:rsidRDefault="008450FE" w:rsidP="00D62912">
            <w:pPr>
              <w:jc w:val="both"/>
              <w:rPr>
                <w:rFonts w:cs="Arial"/>
                <w:b/>
                <w:color w:val="000000" w:themeColor="text1"/>
                <w:sz w:val="20"/>
                <w:szCs w:val="20"/>
              </w:rPr>
            </w:pPr>
          </w:p>
          <w:p w:rsidR="003E6140" w:rsidRDefault="003E6140" w:rsidP="00D62912">
            <w:pPr>
              <w:jc w:val="both"/>
              <w:rPr>
                <w:rFonts w:cs="Arial"/>
                <w:b/>
                <w:color w:val="000000" w:themeColor="text1"/>
                <w:sz w:val="22"/>
                <w:szCs w:val="20"/>
              </w:rPr>
            </w:pPr>
            <w:r w:rsidRPr="00A72C1B">
              <w:rPr>
                <w:rFonts w:cs="Arial"/>
                <w:b/>
                <w:color w:val="000000" w:themeColor="text1"/>
                <w:sz w:val="22"/>
                <w:szCs w:val="20"/>
              </w:rPr>
              <w:t>What changes have you seen since embedding this work?</w:t>
            </w:r>
          </w:p>
          <w:p w:rsidR="00A72C1B" w:rsidRPr="00A72C1B" w:rsidRDefault="00A72C1B" w:rsidP="00D62912">
            <w:pPr>
              <w:jc w:val="both"/>
              <w:rPr>
                <w:rFonts w:cs="Arial"/>
                <w:b/>
                <w:color w:val="000000" w:themeColor="text1"/>
                <w:sz w:val="22"/>
                <w:szCs w:val="20"/>
              </w:rPr>
            </w:pPr>
          </w:p>
          <w:p w:rsidR="008450FE" w:rsidRPr="00A72C1B" w:rsidRDefault="00D063B5" w:rsidP="00D62912">
            <w:pPr>
              <w:jc w:val="both"/>
              <w:rPr>
                <w:rFonts w:cs="Arial"/>
                <w:color w:val="000000" w:themeColor="text1"/>
                <w:sz w:val="20"/>
                <w:szCs w:val="20"/>
              </w:rPr>
            </w:pPr>
            <w:r w:rsidRPr="00A72C1B">
              <w:rPr>
                <w:rFonts w:cs="Arial"/>
                <w:color w:val="000000" w:themeColor="text1"/>
                <w:sz w:val="20"/>
                <w:szCs w:val="20"/>
              </w:rPr>
              <w:t>An</w:t>
            </w:r>
            <w:r w:rsidRPr="00A72C1B">
              <w:rPr>
                <w:rFonts w:cs="Arial"/>
                <w:b/>
                <w:color w:val="000000" w:themeColor="text1"/>
                <w:sz w:val="20"/>
                <w:szCs w:val="20"/>
              </w:rPr>
              <w:t xml:space="preserve"> </w:t>
            </w:r>
            <w:r w:rsidRPr="00A72C1B">
              <w:rPr>
                <w:rFonts w:cs="Arial"/>
                <w:color w:val="000000" w:themeColor="text1"/>
                <w:sz w:val="20"/>
                <w:szCs w:val="20"/>
              </w:rPr>
              <w:t>attainment gap</w:t>
            </w:r>
            <w:r w:rsidR="00273DD3" w:rsidRPr="00A72C1B">
              <w:rPr>
                <w:rFonts w:cs="Arial"/>
                <w:color w:val="000000" w:themeColor="text1"/>
                <w:sz w:val="20"/>
                <w:szCs w:val="20"/>
              </w:rPr>
              <w:t xml:space="preserve"> (% of pupils achieving 5+ A*-C GCSEs inc En &amp; Ma) and Value Added score</w:t>
            </w:r>
            <w:r w:rsidRPr="00A72C1B">
              <w:rPr>
                <w:rFonts w:cs="Arial"/>
                <w:color w:val="000000" w:themeColor="text1"/>
                <w:sz w:val="20"/>
                <w:szCs w:val="20"/>
              </w:rPr>
              <w:t xml:space="preserve"> that has fluctuated but has remained narrower</w:t>
            </w:r>
            <w:r w:rsidR="00273DD3" w:rsidRPr="00A72C1B">
              <w:rPr>
                <w:rFonts w:cs="Arial"/>
                <w:color w:val="000000" w:themeColor="text1"/>
                <w:sz w:val="20"/>
                <w:szCs w:val="20"/>
              </w:rPr>
              <w:t xml:space="preserve"> or better</w:t>
            </w:r>
            <w:r w:rsidRPr="00A72C1B">
              <w:rPr>
                <w:rFonts w:cs="Arial"/>
                <w:color w:val="000000" w:themeColor="text1"/>
                <w:sz w:val="20"/>
                <w:szCs w:val="20"/>
              </w:rPr>
              <w:t xml:space="preserve"> than the Kent average and</w:t>
            </w:r>
            <w:r w:rsidR="00273DD3" w:rsidRPr="00A72C1B">
              <w:rPr>
                <w:rFonts w:cs="Arial"/>
                <w:color w:val="000000" w:themeColor="text1"/>
                <w:sz w:val="20"/>
                <w:szCs w:val="20"/>
              </w:rPr>
              <w:t>/or</w:t>
            </w:r>
            <w:r w:rsidRPr="00A72C1B">
              <w:rPr>
                <w:rFonts w:cs="Arial"/>
                <w:b/>
                <w:color w:val="000000" w:themeColor="text1"/>
                <w:sz w:val="20"/>
                <w:szCs w:val="20"/>
              </w:rPr>
              <w:t xml:space="preserve"> </w:t>
            </w:r>
            <w:r w:rsidR="00273DD3" w:rsidRPr="00A72C1B">
              <w:rPr>
                <w:rFonts w:cs="Arial"/>
                <w:color w:val="000000" w:themeColor="text1"/>
                <w:sz w:val="20"/>
                <w:szCs w:val="20"/>
              </w:rPr>
              <w:t xml:space="preserve">National average, </w:t>
            </w:r>
            <w:r w:rsidRPr="00A72C1B">
              <w:rPr>
                <w:rFonts w:cs="Arial"/>
                <w:color w:val="000000" w:themeColor="text1"/>
                <w:sz w:val="20"/>
                <w:szCs w:val="20"/>
              </w:rPr>
              <w:t>as shown below</w:t>
            </w:r>
            <w:r w:rsidR="00273DD3" w:rsidRPr="00A72C1B">
              <w:rPr>
                <w:rFonts w:cs="Arial"/>
                <w:color w:val="000000" w:themeColor="text1"/>
                <w:sz w:val="20"/>
                <w:szCs w:val="20"/>
              </w:rPr>
              <w:t>:</w:t>
            </w:r>
          </w:p>
          <w:p w:rsidR="00273DD3" w:rsidRPr="00A72C1B" w:rsidRDefault="00273DD3" w:rsidP="00D62912">
            <w:pPr>
              <w:jc w:val="both"/>
              <w:rPr>
                <w:rFonts w:cs="Arial"/>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4643"/>
              <w:gridCol w:w="1067"/>
              <w:gridCol w:w="1138"/>
              <w:gridCol w:w="1113"/>
              <w:gridCol w:w="1033"/>
            </w:tblGrid>
            <w:tr w:rsidR="00D063B5" w:rsidRPr="00A72C1B" w:rsidTr="00273DD3">
              <w:trPr>
                <w:trHeight w:val="306"/>
                <w:jc w:val="center"/>
              </w:trPr>
              <w:tc>
                <w:tcPr>
                  <w:tcW w:w="4643" w:type="dxa"/>
                  <w:tcBorders>
                    <w:top w:val="nil"/>
                    <w:left w:val="nil"/>
                    <w:bottom w:val="single" w:sz="4" w:space="0" w:color="auto"/>
                    <w:right w:val="single" w:sz="4" w:space="0" w:color="auto"/>
                  </w:tcBorders>
                  <w:shd w:val="clear" w:color="auto" w:fill="auto"/>
                </w:tcPr>
                <w:p w:rsidR="00D063B5" w:rsidRPr="00A72C1B" w:rsidRDefault="00D063B5" w:rsidP="00D063B5">
                  <w:pPr>
                    <w:tabs>
                      <w:tab w:val="left" w:pos="6249"/>
                    </w:tabs>
                    <w:jc w:val="center"/>
                    <w:rPr>
                      <w:rFonts w:asciiTheme="minorHAnsi" w:hAnsiTheme="minorHAnsi"/>
                      <w:sz w:val="20"/>
                      <w:szCs w:val="20"/>
                    </w:rPr>
                  </w:pPr>
                </w:p>
              </w:tc>
              <w:tc>
                <w:tcPr>
                  <w:tcW w:w="1067" w:type="dxa"/>
                  <w:tcBorders>
                    <w:left w:val="single" w:sz="4" w:space="0" w:color="auto"/>
                  </w:tcBorders>
                  <w:shd w:val="clear" w:color="auto" w:fill="DAEEF3" w:themeFill="accent5" w:themeFillTint="33"/>
                  <w:vAlign w:val="center"/>
                </w:tcPr>
                <w:p w:rsidR="00D063B5" w:rsidRPr="00A72C1B" w:rsidRDefault="00D063B5" w:rsidP="00D063B5">
                  <w:pPr>
                    <w:tabs>
                      <w:tab w:val="left" w:pos="6249"/>
                    </w:tabs>
                    <w:jc w:val="center"/>
                    <w:rPr>
                      <w:rFonts w:cs="Arial"/>
                      <w:b/>
                      <w:sz w:val="20"/>
                      <w:szCs w:val="20"/>
                    </w:rPr>
                  </w:pPr>
                  <w:r w:rsidRPr="00A72C1B">
                    <w:rPr>
                      <w:rFonts w:cs="Arial"/>
                      <w:b/>
                      <w:sz w:val="20"/>
                      <w:szCs w:val="20"/>
                    </w:rPr>
                    <w:t>2012</w:t>
                  </w:r>
                </w:p>
              </w:tc>
              <w:tc>
                <w:tcPr>
                  <w:tcW w:w="1138" w:type="dxa"/>
                  <w:shd w:val="clear" w:color="auto" w:fill="DAEEF3" w:themeFill="accent5" w:themeFillTint="33"/>
                  <w:vAlign w:val="center"/>
                </w:tcPr>
                <w:p w:rsidR="00D063B5" w:rsidRPr="00A72C1B" w:rsidRDefault="00D063B5" w:rsidP="00D063B5">
                  <w:pPr>
                    <w:tabs>
                      <w:tab w:val="left" w:pos="6249"/>
                    </w:tabs>
                    <w:jc w:val="center"/>
                    <w:rPr>
                      <w:rFonts w:cs="Arial"/>
                      <w:b/>
                      <w:sz w:val="20"/>
                      <w:szCs w:val="20"/>
                    </w:rPr>
                  </w:pPr>
                  <w:r w:rsidRPr="00A72C1B">
                    <w:rPr>
                      <w:rFonts w:cs="Arial"/>
                      <w:b/>
                      <w:sz w:val="20"/>
                      <w:szCs w:val="20"/>
                    </w:rPr>
                    <w:t xml:space="preserve">2013 </w:t>
                  </w:r>
                </w:p>
              </w:tc>
              <w:tc>
                <w:tcPr>
                  <w:tcW w:w="1113" w:type="dxa"/>
                  <w:shd w:val="clear" w:color="auto" w:fill="DAEEF3" w:themeFill="accent5" w:themeFillTint="33"/>
                  <w:vAlign w:val="center"/>
                </w:tcPr>
                <w:p w:rsidR="00D063B5" w:rsidRPr="00A72C1B" w:rsidRDefault="00D063B5" w:rsidP="00D063B5">
                  <w:pPr>
                    <w:tabs>
                      <w:tab w:val="left" w:pos="6249"/>
                    </w:tabs>
                    <w:jc w:val="center"/>
                    <w:rPr>
                      <w:rFonts w:cs="Arial"/>
                      <w:b/>
                      <w:sz w:val="20"/>
                      <w:szCs w:val="20"/>
                    </w:rPr>
                  </w:pPr>
                  <w:r w:rsidRPr="00A72C1B">
                    <w:rPr>
                      <w:rFonts w:cs="Arial"/>
                      <w:b/>
                      <w:sz w:val="20"/>
                      <w:szCs w:val="20"/>
                    </w:rPr>
                    <w:t xml:space="preserve">2014 </w:t>
                  </w:r>
                </w:p>
              </w:tc>
              <w:tc>
                <w:tcPr>
                  <w:tcW w:w="1033" w:type="dxa"/>
                  <w:shd w:val="clear" w:color="auto" w:fill="DAEEF3" w:themeFill="accent5" w:themeFillTint="33"/>
                  <w:vAlign w:val="center"/>
                </w:tcPr>
                <w:p w:rsidR="00D063B5" w:rsidRPr="00A72C1B" w:rsidRDefault="00D063B5" w:rsidP="00D063B5">
                  <w:pPr>
                    <w:tabs>
                      <w:tab w:val="left" w:pos="6249"/>
                    </w:tabs>
                    <w:jc w:val="center"/>
                    <w:rPr>
                      <w:rFonts w:cs="Arial"/>
                      <w:b/>
                      <w:sz w:val="20"/>
                      <w:szCs w:val="20"/>
                    </w:rPr>
                  </w:pPr>
                  <w:r w:rsidRPr="00A72C1B">
                    <w:rPr>
                      <w:rFonts w:cs="Arial"/>
                      <w:b/>
                      <w:sz w:val="20"/>
                      <w:szCs w:val="20"/>
                    </w:rPr>
                    <w:t>2015</w:t>
                  </w:r>
                </w:p>
              </w:tc>
            </w:tr>
            <w:tr w:rsidR="00D063B5" w:rsidRPr="00A72C1B" w:rsidTr="00273DD3">
              <w:trPr>
                <w:trHeight w:val="367"/>
                <w:jc w:val="center"/>
              </w:trPr>
              <w:tc>
                <w:tcPr>
                  <w:tcW w:w="4643" w:type="dxa"/>
                  <w:tcBorders>
                    <w:top w:val="single" w:sz="4" w:space="0" w:color="auto"/>
                    <w:bottom w:val="single" w:sz="4" w:space="0" w:color="auto"/>
                  </w:tcBorders>
                  <w:vAlign w:val="center"/>
                </w:tcPr>
                <w:p w:rsidR="00D063B5" w:rsidRPr="00A72C1B" w:rsidRDefault="00D063B5" w:rsidP="00D063B5">
                  <w:pPr>
                    <w:tabs>
                      <w:tab w:val="left" w:pos="6249"/>
                    </w:tabs>
                    <w:rPr>
                      <w:rFonts w:cs="Arial"/>
                      <w:sz w:val="20"/>
                      <w:szCs w:val="20"/>
                    </w:rPr>
                  </w:pPr>
                  <w:r w:rsidRPr="00A72C1B">
                    <w:rPr>
                      <w:rFonts w:cs="Arial"/>
                      <w:b/>
                      <w:sz w:val="20"/>
                      <w:szCs w:val="20"/>
                    </w:rPr>
                    <w:t xml:space="preserve">% </w:t>
                  </w:r>
                  <w:r w:rsidR="00273DD3" w:rsidRPr="00A72C1B">
                    <w:rPr>
                      <w:rFonts w:cs="Arial"/>
                      <w:b/>
                      <w:sz w:val="20"/>
                      <w:szCs w:val="20"/>
                    </w:rPr>
                    <w:t xml:space="preserve">attainment </w:t>
                  </w:r>
                  <w:r w:rsidRPr="00A72C1B">
                    <w:rPr>
                      <w:rFonts w:cs="Arial"/>
                      <w:b/>
                      <w:sz w:val="20"/>
                      <w:szCs w:val="20"/>
                    </w:rPr>
                    <w:t>gap</w:t>
                  </w:r>
                  <w:r w:rsidRPr="00A72C1B">
                    <w:rPr>
                      <w:rFonts w:cs="Arial"/>
                      <w:sz w:val="20"/>
                      <w:szCs w:val="20"/>
                    </w:rPr>
                    <w:t xml:space="preserve"> between GCSE  results of disadvantaged and non-disadvantaged pupils</w:t>
                  </w:r>
                </w:p>
              </w:tc>
              <w:tc>
                <w:tcPr>
                  <w:tcW w:w="1067" w:type="dxa"/>
                  <w:tcBorders>
                    <w:bottom w:val="single" w:sz="4" w:space="0" w:color="auto"/>
                  </w:tcBorders>
                  <w:vAlign w:val="center"/>
                </w:tcPr>
                <w:p w:rsidR="00D063B5" w:rsidRPr="00A72C1B" w:rsidRDefault="00D063B5" w:rsidP="00D063B5">
                  <w:pPr>
                    <w:tabs>
                      <w:tab w:val="left" w:pos="6249"/>
                    </w:tabs>
                    <w:jc w:val="center"/>
                    <w:rPr>
                      <w:rFonts w:cs="Arial"/>
                      <w:b/>
                      <w:sz w:val="20"/>
                      <w:szCs w:val="20"/>
                    </w:rPr>
                  </w:pPr>
                  <w:r w:rsidRPr="00A72C1B">
                    <w:rPr>
                      <w:rFonts w:cs="Arial"/>
                      <w:b/>
                      <w:sz w:val="20"/>
                      <w:szCs w:val="20"/>
                    </w:rPr>
                    <w:t>-21</w:t>
                  </w:r>
                </w:p>
              </w:tc>
              <w:tc>
                <w:tcPr>
                  <w:tcW w:w="1138" w:type="dxa"/>
                  <w:tcBorders>
                    <w:bottom w:val="single" w:sz="4" w:space="0" w:color="auto"/>
                  </w:tcBorders>
                  <w:vAlign w:val="center"/>
                </w:tcPr>
                <w:p w:rsidR="00D063B5" w:rsidRPr="00A72C1B" w:rsidRDefault="00D063B5" w:rsidP="00D063B5">
                  <w:pPr>
                    <w:tabs>
                      <w:tab w:val="left" w:pos="6249"/>
                    </w:tabs>
                    <w:jc w:val="center"/>
                    <w:rPr>
                      <w:rFonts w:cs="Arial"/>
                      <w:b/>
                      <w:sz w:val="20"/>
                      <w:szCs w:val="20"/>
                    </w:rPr>
                  </w:pPr>
                  <w:r w:rsidRPr="00A72C1B">
                    <w:rPr>
                      <w:rFonts w:cs="Arial"/>
                      <w:b/>
                      <w:sz w:val="20"/>
                      <w:szCs w:val="20"/>
                    </w:rPr>
                    <w:t>-8</w:t>
                  </w:r>
                </w:p>
              </w:tc>
              <w:tc>
                <w:tcPr>
                  <w:tcW w:w="1113" w:type="dxa"/>
                  <w:tcBorders>
                    <w:bottom w:val="single" w:sz="4" w:space="0" w:color="auto"/>
                  </w:tcBorders>
                  <w:vAlign w:val="center"/>
                </w:tcPr>
                <w:p w:rsidR="00D063B5" w:rsidRPr="00A72C1B" w:rsidRDefault="00D063B5" w:rsidP="00D063B5">
                  <w:pPr>
                    <w:tabs>
                      <w:tab w:val="left" w:pos="6249"/>
                    </w:tabs>
                    <w:jc w:val="center"/>
                    <w:rPr>
                      <w:rFonts w:cs="Arial"/>
                      <w:b/>
                      <w:sz w:val="20"/>
                      <w:szCs w:val="20"/>
                    </w:rPr>
                  </w:pPr>
                  <w:r w:rsidRPr="00A72C1B">
                    <w:rPr>
                      <w:rFonts w:cs="Arial"/>
                      <w:b/>
                      <w:sz w:val="20"/>
                      <w:szCs w:val="20"/>
                    </w:rPr>
                    <w:t>0</w:t>
                  </w:r>
                </w:p>
              </w:tc>
              <w:tc>
                <w:tcPr>
                  <w:tcW w:w="1033" w:type="dxa"/>
                  <w:tcBorders>
                    <w:bottom w:val="single" w:sz="4" w:space="0" w:color="auto"/>
                  </w:tcBorders>
                  <w:vAlign w:val="center"/>
                </w:tcPr>
                <w:p w:rsidR="00D063B5" w:rsidRPr="00A72C1B" w:rsidRDefault="00D063B5" w:rsidP="00D063B5">
                  <w:pPr>
                    <w:tabs>
                      <w:tab w:val="left" w:pos="6249"/>
                    </w:tabs>
                    <w:jc w:val="center"/>
                    <w:rPr>
                      <w:rFonts w:cs="Arial"/>
                      <w:b/>
                      <w:sz w:val="20"/>
                      <w:szCs w:val="20"/>
                    </w:rPr>
                  </w:pPr>
                  <w:r w:rsidRPr="00A72C1B">
                    <w:rPr>
                      <w:rFonts w:cs="Arial"/>
                      <w:b/>
                      <w:sz w:val="20"/>
                      <w:szCs w:val="20"/>
                    </w:rPr>
                    <w:t>-20</w:t>
                  </w:r>
                </w:p>
              </w:tc>
            </w:tr>
          </w:tbl>
          <w:p w:rsidR="008450FE" w:rsidRDefault="008450FE" w:rsidP="00D62912">
            <w:pPr>
              <w:jc w:val="both"/>
              <w:rPr>
                <w:rFonts w:cs="Arial"/>
                <w:b/>
                <w:color w:val="000000" w:themeColor="text1"/>
                <w:sz w:val="20"/>
                <w:szCs w:val="20"/>
              </w:rPr>
            </w:pPr>
          </w:p>
          <w:p w:rsidR="00A72C1B" w:rsidRPr="00A72C1B" w:rsidRDefault="00A72C1B" w:rsidP="00D62912">
            <w:pPr>
              <w:jc w:val="both"/>
              <w:rPr>
                <w:rFonts w:cs="Arial"/>
                <w:b/>
                <w:color w:val="000000" w:themeColor="text1"/>
                <w:sz w:val="20"/>
                <w:szCs w:val="20"/>
              </w:rPr>
            </w:pP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1518"/>
              <w:gridCol w:w="856"/>
              <w:gridCol w:w="975"/>
              <w:gridCol w:w="857"/>
              <w:gridCol w:w="975"/>
              <w:gridCol w:w="856"/>
              <w:gridCol w:w="975"/>
              <w:gridCol w:w="856"/>
              <w:gridCol w:w="975"/>
            </w:tblGrid>
            <w:tr w:rsidR="00273DD3" w:rsidRPr="00A72C1B" w:rsidTr="00A72C1B">
              <w:trPr>
                <w:trHeight w:val="385"/>
                <w:jc w:val="center"/>
              </w:trPr>
              <w:tc>
                <w:tcPr>
                  <w:tcW w:w="1491" w:type="dxa"/>
                  <w:vMerge w:val="restart"/>
                  <w:tcBorders>
                    <w:right w:val="single" w:sz="4" w:space="0" w:color="auto"/>
                  </w:tcBorders>
                  <w:shd w:val="clear" w:color="auto" w:fill="auto"/>
                </w:tcPr>
                <w:p w:rsidR="00D063B5" w:rsidRPr="00A72C1B" w:rsidRDefault="00D063B5" w:rsidP="00D063B5">
                  <w:pPr>
                    <w:tabs>
                      <w:tab w:val="left" w:pos="6249"/>
                    </w:tabs>
                    <w:jc w:val="center"/>
                    <w:rPr>
                      <w:sz w:val="20"/>
                      <w:szCs w:val="20"/>
                    </w:rPr>
                  </w:pPr>
                </w:p>
              </w:tc>
              <w:tc>
                <w:tcPr>
                  <w:tcW w:w="1838" w:type="dxa"/>
                  <w:gridSpan w:val="2"/>
                  <w:tcBorders>
                    <w:left w:val="single" w:sz="4" w:space="0" w:color="auto"/>
                    <w:right w:val="single" w:sz="4" w:space="0" w:color="auto"/>
                  </w:tcBorders>
                  <w:shd w:val="clear" w:color="auto" w:fill="DAEEF3" w:themeFill="accent5" w:themeFillTint="33"/>
                  <w:vAlign w:val="center"/>
                </w:tcPr>
                <w:p w:rsidR="00D063B5" w:rsidRPr="00A72C1B" w:rsidRDefault="00D063B5" w:rsidP="00D063B5">
                  <w:pPr>
                    <w:tabs>
                      <w:tab w:val="left" w:pos="6249"/>
                    </w:tabs>
                    <w:jc w:val="center"/>
                    <w:rPr>
                      <w:b/>
                      <w:sz w:val="20"/>
                      <w:szCs w:val="20"/>
                    </w:rPr>
                  </w:pPr>
                  <w:r w:rsidRPr="00A72C1B">
                    <w:rPr>
                      <w:b/>
                      <w:sz w:val="20"/>
                      <w:szCs w:val="20"/>
                    </w:rPr>
                    <w:t>2012</w:t>
                  </w:r>
                </w:p>
              </w:tc>
              <w:tc>
                <w:tcPr>
                  <w:tcW w:w="1838" w:type="dxa"/>
                  <w:gridSpan w:val="2"/>
                  <w:tcBorders>
                    <w:left w:val="single" w:sz="4" w:space="0" w:color="auto"/>
                    <w:right w:val="single" w:sz="4" w:space="0" w:color="auto"/>
                  </w:tcBorders>
                  <w:shd w:val="clear" w:color="auto" w:fill="DAEEF3" w:themeFill="accent5" w:themeFillTint="33"/>
                  <w:vAlign w:val="center"/>
                </w:tcPr>
                <w:p w:rsidR="00D063B5" w:rsidRPr="00A72C1B" w:rsidRDefault="00D063B5" w:rsidP="00D063B5">
                  <w:pPr>
                    <w:tabs>
                      <w:tab w:val="left" w:pos="6249"/>
                    </w:tabs>
                    <w:jc w:val="center"/>
                    <w:rPr>
                      <w:b/>
                      <w:sz w:val="20"/>
                      <w:szCs w:val="20"/>
                    </w:rPr>
                  </w:pPr>
                  <w:r w:rsidRPr="00A72C1B">
                    <w:rPr>
                      <w:b/>
                      <w:sz w:val="20"/>
                      <w:szCs w:val="20"/>
                    </w:rPr>
                    <w:t xml:space="preserve">2013 </w:t>
                  </w:r>
                </w:p>
              </w:tc>
              <w:tc>
                <w:tcPr>
                  <w:tcW w:w="1838" w:type="dxa"/>
                  <w:gridSpan w:val="2"/>
                  <w:tcBorders>
                    <w:left w:val="single" w:sz="4" w:space="0" w:color="auto"/>
                    <w:right w:val="single" w:sz="4" w:space="0" w:color="auto"/>
                  </w:tcBorders>
                  <w:shd w:val="clear" w:color="auto" w:fill="DAEEF3" w:themeFill="accent5" w:themeFillTint="33"/>
                  <w:vAlign w:val="center"/>
                </w:tcPr>
                <w:p w:rsidR="00D063B5" w:rsidRPr="00A72C1B" w:rsidRDefault="00D063B5" w:rsidP="00D063B5">
                  <w:pPr>
                    <w:tabs>
                      <w:tab w:val="left" w:pos="6249"/>
                    </w:tabs>
                    <w:jc w:val="center"/>
                    <w:rPr>
                      <w:b/>
                      <w:sz w:val="20"/>
                      <w:szCs w:val="20"/>
                    </w:rPr>
                  </w:pPr>
                  <w:r w:rsidRPr="00A72C1B">
                    <w:rPr>
                      <w:b/>
                      <w:sz w:val="20"/>
                      <w:szCs w:val="20"/>
                    </w:rPr>
                    <w:t xml:space="preserve">2014 </w:t>
                  </w:r>
                </w:p>
              </w:tc>
              <w:tc>
                <w:tcPr>
                  <w:tcW w:w="1838" w:type="dxa"/>
                  <w:gridSpan w:val="2"/>
                  <w:tcBorders>
                    <w:left w:val="single" w:sz="4" w:space="0" w:color="auto"/>
                    <w:right w:val="single" w:sz="4" w:space="0" w:color="auto"/>
                  </w:tcBorders>
                  <w:shd w:val="clear" w:color="auto" w:fill="DAEEF3" w:themeFill="accent5" w:themeFillTint="33"/>
                  <w:vAlign w:val="center"/>
                </w:tcPr>
                <w:p w:rsidR="00D063B5" w:rsidRPr="00A72C1B" w:rsidRDefault="00D063B5" w:rsidP="00D063B5">
                  <w:pPr>
                    <w:tabs>
                      <w:tab w:val="left" w:pos="6249"/>
                    </w:tabs>
                    <w:jc w:val="center"/>
                    <w:rPr>
                      <w:b/>
                      <w:sz w:val="20"/>
                      <w:szCs w:val="20"/>
                    </w:rPr>
                  </w:pPr>
                  <w:r w:rsidRPr="00A72C1B">
                    <w:rPr>
                      <w:b/>
                      <w:sz w:val="20"/>
                      <w:szCs w:val="20"/>
                    </w:rPr>
                    <w:t>2015</w:t>
                  </w:r>
                </w:p>
              </w:tc>
            </w:tr>
            <w:tr w:rsidR="00273DD3" w:rsidRPr="00A72C1B" w:rsidTr="00A72C1B">
              <w:trPr>
                <w:trHeight w:val="385"/>
                <w:jc w:val="center"/>
              </w:trPr>
              <w:tc>
                <w:tcPr>
                  <w:tcW w:w="1491" w:type="dxa"/>
                  <w:vMerge/>
                  <w:tcBorders>
                    <w:right w:val="single" w:sz="4" w:space="0" w:color="auto"/>
                  </w:tcBorders>
                  <w:shd w:val="clear" w:color="auto" w:fill="auto"/>
                </w:tcPr>
                <w:p w:rsidR="00D063B5" w:rsidRPr="00A72C1B" w:rsidRDefault="00D063B5" w:rsidP="00D063B5">
                  <w:pPr>
                    <w:tabs>
                      <w:tab w:val="left" w:pos="6249"/>
                    </w:tabs>
                    <w:jc w:val="center"/>
                    <w:rPr>
                      <w:sz w:val="20"/>
                      <w:szCs w:val="20"/>
                    </w:rPr>
                  </w:pPr>
                </w:p>
              </w:tc>
              <w:tc>
                <w:tcPr>
                  <w:tcW w:w="859" w:type="dxa"/>
                  <w:tcBorders>
                    <w:left w:val="single" w:sz="4" w:space="0" w:color="auto"/>
                  </w:tcBorders>
                  <w:shd w:val="clear" w:color="auto" w:fill="DAEEF3" w:themeFill="accent5" w:themeFillTint="33"/>
                  <w:vAlign w:val="center"/>
                </w:tcPr>
                <w:p w:rsidR="00D063B5" w:rsidRPr="00A72C1B" w:rsidRDefault="00D063B5" w:rsidP="00D063B5">
                  <w:pPr>
                    <w:tabs>
                      <w:tab w:val="left" w:pos="6249"/>
                    </w:tabs>
                    <w:jc w:val="center"/>
                    <w:rPr>
                      <w:b/>
                      <w:sz w:val="18"/>
                      <w:szCs w:val="20"/>
                    </w:rPr>
                  </w:pPr>
                  <w:r w:rsidRPr="00A72C1B">
                    <w:rPr>
                      <w:b/>
                      <w:sz w:val="18"/>
                      <w:szCs w:val="20"/>
                    </w:rPr>
                    <w:t>School</w:t>
                  </w:r>
                </w:p>
              </w:tc>
              <w:tc>
                <w:tcPr>
                  <w:tcW w:w="978" w:type="dxa"/>
                  <w:tcBorders>
                    <w:right w:val="single" w:sz="4" w:space="0" w:color="auto"/>
                  </w:tcBorders>
                  <w:shd w:val="clear" w:color="auto" w:fill="DAEEF3" w:themeFill="accent5" w:themeFillTint="33"/>
                  <w:vAlign w:val="center"/>
                </w:tcPr>
                <w:p w:rsidR="00D063B5" w:rsidRPr="00A72C1B" w:rsidRDefault="00D063B5" w:rsidP="00D063B5">
                  <w:pPr>
                    <w:tabs>
                      <w:tab w:val="left" w:pos="6249"/>
                    </w:tabs>
                    <w:jc w:val="center"/>
                    <w:rPr>
                      <w:b/>
                      <w:sz w:val="18"/>
                      <w:szCs w:val="20"/>
                    </w:rPr>
                  </w:pPr>
                  <w:r w:rsidRPr="00A72C1B">
                    <w:rPr>
                      <w:b/>
                      <w:sz w:val="18"/>
                      <w:szCs w:val="20"/>
                    </w:rPr>
                    <w:t>National</w:t>
                  </w:r>
                </w:p>
              </w:tc>
              <w:tc>
                <w:tcPr>
                  <w:tcW w:w="859" w:type="dxa"/>
                  <w:tcBorders>
                    <w:left w:val="single" w:sz="4" w:space="0" w:color="auto"/>
                  </w:tcBorders>
                  <w:shd w:val="clear" w:color="auto" w:fill="DAEEF3" w:themeFill="accent5" w:themeFillTint="33"/>
                  <w:vAlign w:val="center"/>
                </w:tcPr>
                <w:p w:rsidR="00D063B5" w:rsidRPr="00A72C1B" w:rsidRDefault="00D063B5" w:rsidP="00D063B5">
                  <w:pPr>
                    <w:tabs>
                      <w:tab w:val="left" w:pos="6249"/>
                    </w:tabs>
                    <w:jc w:val="center"/>
                    <w:rPr>
                      <w:b/>
                      <w:sz w:val="18"/>
                      <w:szCs w:val="20"/>
                    </w:rPr>
                  </w:pPr>
                  <w:r w:rsidRPr="00A72C1B">
                    <w:rPr>
                      <w:b/>
                      <w:sz w:val="18"/>
                      <w:szCs w:val="20"/>
                    </w:rPr>
                    <w:t>School</w:t>
                  </w:r>
                </w:p>
              </w:tc>
              <w:tc>
                <w:tcPr>
                  <w:tcW w:w="978" w:type="dxa"/>
                  <w:tcBorders>
                    <w:right w:val="single" w:sz="4" w:space="0" w:color="auto"/>
                  </w:tcBorders>
                  <w:shd w:val="clear" w:color="auto" w:fill="DAEEF3" w:themeFill="accent5" w:themeFillTint="33"/>
                  <w:vAlign w:val="center"/>
                </w:tcPr>
                <w:p w:rsidR="00D063B5" w:rsidRPr="00A72C1B" w:rsidRDefault="00D063B5" w:rsidP="00D063B5">
                  <w:pPr>
                    <w:tabs>
                      <w:tab w:val="left" w:pos="6249"/>
                    </w:tabs>
                    <w:jc w:val="center"/>
                    <w:rPr>
                      <w:b/>
                      <w:sz w:val="18"/>
                      <w:szCs w:val="20"/>
                    </w:rPr>
                  </w:pPr>
                  <w:r w:rsidRPr="00A72C1B">
                    <w:rPr>
                      <w:b/>
                      <w:sz w:val="18"/>
                      <w:szCs w:val="20"/>
                    </w:rPr>
                    <w:t>National</w:t>
                  </w:r>
                </w:p>
              </w:tc>
              <w:tc>
                <w:tcPr>
                  <w:tcW w:w="859" w:type="dxa"/>
                  <w:tcBorders>
                    <w:left w:val="single" w:sz="4" w:space="0" w:color="auto"/>
                  </w:tcBorders>
                  <w:shd w:val="clear" w:color="auto" w:fill="DAEEF3" w:themeFill="accent5" w:themeFillTint="33"/>
                  <w:vAlign w:val="center"/>
                </w:tcPr>
                <w:p w:rsidR="00D063B5" w:rsidRPr="00A72C1B" w:rsidRDefault="00D063B5" w:rsidP="00D063B5">
                  <w:pPr>
                    <w:tabs>
                      <w:tab w:val="left" w:pos="6249"/>
                    </w:tabs>
                    <w:jc w:val="center"/>
                    <w:rPr>
                      <w:b/>
                      <w:sz w:val="18"/>
                      <w:szCs w:val="20"/>
                    </w:rPr>
                  </w:pPr>
                  <w:r w:rsidRPr="00A72C1B">
                    <w:rPr>
                      <w:b/>
                      <w:sz w:val="18"/>
                      <w:szCs w:val="20"/>
                    </w:rPr>
                    <w:t>School</w:t>
                  </w:r>
                </w:p>
              </w:tc>
              <w:tc>
                <w:tcPr>
                  <w:tcW w:w="978" w:type="dxa"/>
                  <w:tcBorders>
                    <w:right w:val="single" w:sz="4" w:space="0" w:color="auto"/>
                  </w:tcBorders>
                  <w:shd w:val="clear" w:color="auto" w:fill="DAEEF3" w:themeFill="accent5" w:themeFillTint="33"/>
                  <w:vAlign w:val="center"/>
                </w:tcPr>
                <w:p w:rsidR="00D063B5" w:rsidRPr="00A72C1B" w:rsidRDefault="00D063B5" w:rsidP="00D063B5">
                  <w:pPr>
                    <w:tabs>
                      <w:tab w:val="left" w:pos="6249"/>
                    </w:tabs>
                    <w:jc w:val="center"/>
                    <w:rPr>
                      <w:b/>
                      <w:sz w:val="18"/>
                      <w:szCs w:val="20"/>
                    </w:rPr>
                  </w:pPr>
                  <w:r w:rsidRPr="00A72C1B">
                    <w:rPr>
                      <w:b/>
                      <w:sz w:val="18"/>
                      <w:szCs w:val="20"/>
                    </w:rPr>
                    <w:t>National</w:t>
                  </w:r>
                </w:p>
              </w:tc>
              <w:tc>
                <w:tcPr>
                  <w:tcW w:w="859" w:type="dxa"/>
                  <w:tcBorders>
                    <w:left w:val="single" w:sz="4" w:space="0" w:color="auto"/>
                    <w:right w:val="single" w:sz="4" w:space="0" w:color="auto"/>
                  </w:tcBorders>
                  <w:shd w:val="clear" w:color="auto" w:fill="DAEEF3" w:themeFill="accent5" w:themeFillTint="33"/>
                  <w:vAlign w:val="center"/>
                </w:tcPr>
                <w:p w:rsidR="00D063B5" w:rsidRPr="00A72C1B" w:rsidRDefault="00D063B5" w:rsidP="00D063B5">
                  <w:pPr>
                    <w:tabs>
                      <w:tab w:val="left" w:pos="6249"/>
                    </w:tabs>
                    <w:jc w:val="center"/>
                    <w:rPr>
                      <w:b/>
                      <w:sz w:val="18"/>
                      <w:szCs w:val="20"/>
                    </w:rPr>
                  </w:pPr>
                  <w:r w:rsidRPr="00A72C1B">
                    <w:rPr>
                      <w:b/>
                      <w:sz w:val="18"/>
                      <w:szCs w:val="20"/>
                    </w:rPr>
                    <w:t>School</w:t>
                  </w:r>
                </w:p>
              </w:tc>
              <w:tc>
                <w:tcPr>
                  <w:tcW w:w="978" w:type="dxa"/>
                  <w:tcBorders>
                    <w:left w:val="single" w:sz="4" w:space="0" w:color="auto"/>
                    <w:right w:val="single" w:sz="4" w:space="0" w:color="auto"/>
                  </w:tcBorders>
                  <w:shd w:val="clear" w:color="auto" w:fill="DAEEF3" w:themeFill="accent5" w:themeFillTint="33"/>
                  <w:vAlign w:val="center"/>
                </w:tcPr>
                <w:p w:rsidR="00D063B5" w:rsidRPr="00A72C1B" w:rsidRDefault="00D063B5" w:rsidP="00D063B5">
                  <w:pPr>
                    <w:tabs>
                      <w:tab w:val="left" w:pos="6249"/>
                    </w:tabs>
                    <w:jc w:val="center"/>
                    <w:rPr>
                      <w:b/>
                      <w:sz w:val="18"/>
                      <w:szCs w:val="20"/>
                    </w:rPr>
                  </w:pPr>
                  <w:r w:rsidRPr="00A72C1B">
                    <w:rPr>
                      <w:b/>
                      <w:sz w:val="18"/>
                      <w:szCs w:val="20"/>
                    </w:rPr>
                    <w:t>National</w:t>
                  </w:r>
                </w:p>
              </w:tc>
            </w:tr>
            <w:tr w:rsidR="00273DD3" w:rsidRPr="00A72C1B" w:rsidTr="00A72C1B">
              <w:trPr>
                <w:trHeight w:val="461"/>
                <w:jc w:val="center"/>
              </w:trPr>
              <w:tc>
                <w:tcPr>
                  <w:tcW w:w="1491" w:type="dxa"/>
                  <w:tcBorders>
                    <w:right w:val="single" w:sz="4" w:space="0" w:color="auto"/>
                  </w:tcBorders>
                  <w:vAlign w:val="center"/>
                </w:tcPr>
                <w:p w:rsidR="00D063B5" w:rsidRPr="00A72C1B" w:rsidRDefault="00273DD3" w:rsidP="00D063B5">
                  <w:pPr>
                    <w:tabs>
                      <w:tab w:val="left" w:pos="6249"/>
                    </w:tabs>
                    <w:rPr>
                      <w:sz w:val="20"/>
                      <w:szCs w:val="20"/>
                    </w:rPr>
                  </w:pPr>
                  <w:r w:rsidRPr="00A72C1B">
                    <w:rPr>
                      <w:sz w:val="20"/>
                      <w:szCs w:val="20"/>
                    </w:rPr>
                    <w:t>KS2 to KS</w:t>
                  </w:r>
                  <w:r w:rsidR="00D063B5" w:rsidRPr="00A72C1B">
                    <w:rPr>
                      <w:sz w:val="20"/>
                      <w:szCs w:val="20"/>
                    </w:rPr>
                    <w:t xml:space="preserve">4 VA for </w:t>
                  </w:r>
                  <w:r w:rsidR="00D063B5" w:rsidRPr="00A72C1B">
                    <w:rPr>
                      <w:b/>
                      <w:sz w:val="20"/>
                      <w:szCs w:val="20"/>
                    </w:rPr>
                    <w:t>all</w:t>
                  </w:r>
                  <w:r w:rsidR="00D063B5" w:rsidRPr="00A72C1B">
                    <w:rPr>
                      <w:sz w:val="20"/>
                      <w:szCs w:val="20"/>
                    </w:rPr>
                    <w:t xml:space="preserve"> disadvantaged pupils</w:t>
                  </w:r>
                </w:p>
              </w:tc>
              <w:tc>
                <w:tcPr>
                  <w:tcW w:w="859" w:type="dxa"/>
                  <w:tcBorders>
                    <w:left w:val="single" w:sz="4" w:space="0" w:color="auto"/>
                  </w:tcBorders>
                  <w:vAlign w:val="center"/>
                </w:tcPr>
                <w:p w:rsidR="00D063B5" w:rsidRPr="00A72C1B" w:rsidRDefault="00D063B5" w:rsidP="00D063B5">
                  <w:pPr>
                    <w:tabs>
                      <w:tab w:val="left" w:pos="6249"/>
                    </w:tabs>
                    <w:jc w:val="center"/>
                    <w:rPr>
                      <w:b/>
                      <w:sz w:val="20"/>
                      <w:szCs w:val="20"/>
                    </w:rPr>
                  </w:pPr>
                  <w:r w:rsidRPr="00A72C1B">
                    <w:rPr>
                      <w:b/>
                      <w:sz w:val="20"/>
                      <w:szCs w:val="20"/>
                      <w:highlight w:val="green"/>
                    </w:rPr>
                    <w:t>1004.9</w:t>
                  </w:r>
                </w:p>
              </w:tc>
              <w:tc>
                <w:tcPr>
                  <w:tcW w:w="978" w:type="dxa"/>
                  <w:tcBorders>
                    <w:right w:val="single" w:sz="4" w:space="0" w:color="auto"/>
                  </w:tcBorders>
                  <w:vAlign w:val="center"/>
                </w:tcPr>
                <w:p w:rsidR="00D063B5" w:rsidRPr="00A72C1B" w:rsidRDefault="00D063B5" w:rsidP="00D063B5">
                  <w:pPr>
                    <w:tabs>
                      <w:tab w:val="left" w:pos="6249"/>
                    </w:tabs>
                    <w:jc w:val="center"/>
                    <w:rPr>
                      <w:b/>
                      <w:sz w:val="20"/>
                      <w:szCs w:val="20"/>
                    </w:rPr>
                  </w:pPr>
                  <w:r w:rsidRPr="00A72C1B">
                    <w:rPr>
                      <w:b/>
                      <w:sz w:val="20"/>
                      <w:szCs w:val="20"/>
                    </w:rPr>
                    <w:t>981.9</w:t>
                  </w:r>
                </w:p>
              </w:tc>
              <w:tc>
                <w:tcPr>
                  <w:tcW w:w="859" w:type="dxa"/>
                  <w:tcBorders>
                    <w:left w:val="single" w:sz="4" w:space="0" w:color="auto"/>
                  </w:tcBorders>
                  <w:vAlign w:val="center"/>
                </w:tcPr>
                <w:p w:rsidR="00D063B5" w:rsidRPr="00A72C1B" w:rsidRDefault="00D063B5" w:rsidP="00D063B5">
                  <w:pPr>
                    <w:tabs>
                      <w:tab w:val="left" w:pos="6249"/>
                    </w:tabs>
                    <w:jc w:val="center"/>
                    <w:rPr>
                      <w:b/>
                      <w:sz w:val="20"/>
                      <w:szCs w:val="20"/>
                    </w:rPr>
                  </w:pPr>
                  <w:r w:rsidRPr="00A72C1B">
                    <w:rPr>
                      <w:b/>
                      <w:sz w:val="20"/>
                      <w:szCs w:val="20"/>
                      <w:highlight w:val="green"/>
                    </w:rPr>
                    <w:t>1010.0</w:t>
                  </w:r>
                </w:p>
              </w:tc>
              <w:tc>
                <w:tcPr>
                  <w:tcW w:w="978" w:type="dxa"/>
                  <w:tcBorders>
                    <w:right w:val="single" w:sz="4" w:space="0" w:color="auto"/>
                  </w:tcBorders>
                  <w:vAlign w:val="center"/>
                </w:tcPr>
                <w:p w:rsidR="00D063B5" w:rsidRPr="00A72C1B" w:rsidRDefault="00D063B5" w:rsidP="00D063B5">
                  <w:pPr>
                    <w:tabs>
                      <w:tab w:val="left" w:pos="6249"/>
                    </w:tabs>
                    <w:jc w:val="center"/>
                    <w:rPr>
                      <w:b/>
                      <w:sz w:val="20"/>
                      <w:szCs w:val="20"/>
                    </w:rPr>
                  </w:pPr>
                  <w:r w:rsidRPr="00A72C1B">
                    <w:rPr>
                      <w:b/>
                      <w:sz w:val="20"/>
                      <w:szCs w:val="20"/>
                    </w:rPr>
                    <w:t>983.7</w:t>
                  </w:r>
                </w:p>
              </w:tc>
              <w:tc>
                <w:tcPr>
                  <w:tcW w:w="859" w:type="dxa"/>
                  <w:tcBorders>
                    <w:left w:val="single" w:sz="4" w:space="0" w:color="auto"/>
                  </w:tcBorders>
                  <w:vAlign w:val="center"/>
                </w:tcPr>
                <w:p w:rsidR="00D063B5" w:rsidRPr="00A72C1B" w:rsidRDefault="00D063B5" w:rsidP="00D063B5">
                  <w:pPr>
                    <w:tabs>
                      <w:tab w:val="left" w:pos="6249"/>
                    </w:tabs>
                    <w:jc w:val="center"/>
                    <w:rPr>
                      <w:b/>
                      <w:sz w:val="20"/>
                      <w:szCs w:val="20"/>
                    </w:rPr>
                  </w:pPr>
                  <w:r w:rsidRPr="00A72C1B">
                    <w:rPr>
                      <w:b/>
                      <w:sz w:val="20"/>
                      <w:szCs w:val="20"/>
                      <w:highlight w:val="green"/>
                    </w:rPr>
                    <w:t>994.0</w:t>
                  </w:r>
                </w:p>
              </w:tc>
              <w:tc>
                <w:tcPr>
                  <w:tcW w:w="978" w:type="dxa"/>
                  <w:tcBorders>
                    <w:right w:val="single" w:sz="4" w:space="0" w:color="auto"/>
                  </w:tcBorders>
                  <w:vAlign w:val="center"/>
                </w:tcPr>
                <w:p w:rsidR="00D063B5" w:rsidRPr="00A72C1B" w:rsidRDefault="00D063B5" w:rsidP="00D063B5">
                  <w:pPr>
                    <w:tabs>
                      <w:tab w:val="left" w:pos="6249"/>
                    </w:tabs>
                    <w:jc w:val="center"/>
                    <w:rPr>
                      <w:b/>
                      <w:sz w:val="20"/>
                      <w:szCs w:val="20"/>
                    </w:rPr>
                  </w:pPr>
                  <w:r w:rsidRPr="00A72C1B">
                    <w:rPr>
                      <w:b/>
                      <w:sz w:val="20"/>
                      <w:szCs w:val="20"/>
                    </w:rPr>
                    <w:t>977.8</w:t>
                  </w:r>
                </w:p>
              </w:tc>
              <w:tc>
                <w:tcPr>
                  <w:tcW w:w="859" w:type="dxa"/>
                  <w:tcBorders>
                    <w:left w:val="single" w:sz="4" w:space="0" w:color="auto"/>
                    <w:right w:val="single" w:sz="4" w:space="0" w:color="auto"/>
                  </w:tcBorders>
                  <w:shd w:val="clear" w:color="auto" w:fill="auto"/>
                  <w:vAlign w:val="center"/>
                </w:tcPr>
                <w:p w:rsidR="00D063B5" w:rsidRPr="00A72C1B" w:rsidRDefault="00D66453" w:rsidP="00D063B5">
                  <w:pPr>
                    <w:tabs>
                      <w:tab w:val="left" w:pos="6249"/>
                    </w:tabs>
                    <w:jc w:val="center"/>
                    <w:rPr>
                      <w:b/>
                      <w:sz w:val="20"/>
                      <w:szCs w:val="20"/>
                    </w:rPr>
                  </w:pPr>
                  <w:r w:rsidRPr="00A72C1B">
                    <w:rPr>
                      <w:b/>
                      <w:sz w:val="20"/>
                      <w:szCs w:val="20"/>
                      <w:highlight w:val="green"/>
                    </w:rPr>
                    <w:t>995.9</w:t>
                  </w:r>
                </w:p>
              </w:tc>
              <w:tc>
                <w:tcPr>
                  <w:tcW w:w="978" w:type="dxa"/>
                  <w:tcBorders>
                    <w:left w:val="single" w:sz="4" w:space="0" w:color="auto"/>
                    <w:right w:val="single" w:sz="4" w:space="0" w:color="auto"/>
                  </w:tcBorders>
                  <w:shd w:val="clear" w:color="auto" w:fill="auto"/>
                  <w:vAlign w:val="center"/>
                </w:tcPr>
                <w:p w:rsidR="00D063B5" w:rsidRPr="00A72C1B" w:rsidRDefault="00D063B5" w:rsidP="00D063B5">
                  <w:pPr>
                    <w:tabs>
                      <w:tab w:val="left" w:pos="6249"/>
                    </w:tabs>
                    <w:jc w:val="center"/>
                    <w:rPr>
                      <w:b/>
                      <w:sz w:val="20"/>
                      <w:szCs w:val="20"/>
                    </w:rPr>
                  </w:pPr>
                  <w:r w:rsidRPr="00A72C1B">
                    <w:rPr>
                      <w:b/>
                      <w:sz w:val="20"/>
                      <w:szCs w:val="20"/>
                    </w:rPr>
                    <w:t>975.9</w:t>
                  </w:r>
                </w:p>
              </w:tc>
            </w:tr>
          </w:tbl>
          <w:p w:rsidR="008450FE" w:rsidRPr="00A72C1B" w:rsidRDefault="008450FE" w:rsidP="00D62912">
            <w:pPr>
              <w:jc w:val="both"/>
              <w:rPr>
                <w:sz w:val="20"/>
                <w:szCs w:val="20"/>
              </w:rPr>
            </w:pPr>
          </w:p>
          <w:p w:rsidR="00A72C1B" w:rsidRDefault="00A72C1B" w:rsidP="00D62912">
            <w:pPr>
              <w:jc w:val="both"/>
              <w:rPr>
                <w:rFonts w:cs="Arial"/>
                <w:b/>
                <w:color w:val="000000" w:themeColor="text1"/>
                <w:sz w:val="20"/>
                <w:szCs w:val="20"/>
              </w:rPr>
            </w:pPr>
          </w:p>
          <w:p w:rsidR="003E6140" w:rsidRDefault="003E6140" w:rsidP="00D62912">
            <w:pPr>
              <w:jc w:val="both"/>
              <w:rPr>
                <w:rFonts w:cs="Arial"/>
                <w:b/>
                <w:color w:val="000000" w:themeColor="text1"/>
                <w:sz w:val="22"/>
                <w:szCs w:val="20"/>
              </w:rPr>
            </w:pPr>
            <w:r w:rsidRPr="00A72C1B">
              <w:rPr>
                <w:rFonts w:cs="Arial"/>
                <w:b/>
                <w:color w:val="000000" w:themeColor="text1"/>
                <w:sz w:val="22"/>
                <w:szCs w:val="20"/>
              </w:rPr>
              <w:t>What have the outcomes been for:</w:t>
            </w:r>
          </w:p>
          <w:p w:rsidR="00A72C1B" w:rsidRPr="00A72C1B" w:rsidRDefault="00A72C1B" w:rsidP="00D62912">
            <w:pPr>
              <w:jc w:val="both"/>
              <w:rPr>
                <w:rFonts w:cs="Arial"/>
                <w:b/>
                <w:color w:val="000000" w:themeColor="text1"/>
                <w:sz w:val="22"/>
                <w:szCs w:val="20"/>
              </w:rPr>
            </w:pPr>
          </w:p>
          <w:p w:rsidR="00273DD3" w:rsidRPr="00A72C1B" w:rsidRDefault="00D66453" w:rsidP="00FE42A1">
            <w:pPr>
              <w:pStyle w:val="ListParagraph"/>
              <w:numPr>
                <w:ilvl w:val="0"/>
                <w:numId w:val="1"/>
              </w:numPr>
              <w:ind w:left="709"/>
              <w:jc w:val="both"/>
              <w:rPr>
                <w:rFonts w:ascii="Arial" w:hAnsi="Arial" w:cs="Arial"/>
                <w:color w:val="000000" w:themeColor="text1"/>
                <w:sz w:val="20"/>
                <w:szCs w:val="20"/>
              </w:rPr>
            </w:pPr>
            <w:r w:rsidRPr="00A72C1B">
              <w:rPr>
                <w:rFonts w:ascii="Arial" w:hAnsi="Arial" w:cs="Arial"/>
                <w:color w:val="000000" w:themeColor="text1"/>
                <w:sz w:val="20"/>
                <w:szCs w:val="20"/>
              </w:rPr>
              <w:t>Both disadvantaged and non-disadvantaged pupils have made value added progress that is well above national average</w:t>
            </w:r>
            <w:r w:rsidR="00A72C1B">
              <w:rPr>
                <w:rFonts w:ascii="Arial" w:hAnsi="Arial" w:cs="Arial"/>
                <w:color w:val="000000" w:themeColor="text1"/>
                <w:sz w:val="20"/>
                <w:szCs w:val="20"/>
              </w:rPr>
              <w:t xml:space="preserve"> when compared with similar pupils</w:t>
            </w:r>
            <w:r w:rsidR="00A72C1B" w:rsidRPr="00A72C1B">
              <w:rPr>
                <w:rFonts w:ascii="Arial" w:hAnsi="Arial" w:cs="Arial"/>
                <w:color w:val="000000" w:themeColor="text1"/>
                <w:sz w:val="20"/>
                <w:szCs w:val="20"/>
              </w:rPr>
              <w:t>.</w:t>
            </w:r>
            <w:r w:rsidRPr="00A72C1B">
              <w:rPr>
                <w:rFonts w:ascii="Arial" w:hAnsi="Arial" w:cs="Arial"/>
                <w:color w:val="000000" w:themeColor="text1"/>
                <w:sz w:val="20"/>
                <w:szCs w:val="20"/>
              </w:rPr>
              <w:t xml:space="preserve"> </w:t>
            </w:r>
            <w:r w:rsidR="00273DD3" w:rsidRPr="00A72C1B">
              <w:rPr>
                <w:rFonts w:ascii="Arial" w:hAnsi="Arial" w:cs="Arial"/>
                <w:color w:val="000000" w:themeColor="text1"/>
                <w:sz w:val="20"/>
                <w:szCs w:val="20"/>
              </w:rPr>
              <w:t xml:space="preserve">  </w:t>
            </w:r>
          </w:p>
          <w:p w:rsidR="003E6140" w:rsidRPr="00A72C1B" w:rsidRDefault="00A72C1B" w:rsidP="00FE42A1">
            <w:pPr>
              <w:pStyle w:val="ListParagraph"/>
              <w:numPr>
                <w:ilvl w:val="0"/>
                <w:numId w:val="1"/>
              </w:numPr>
              <w:ind w:left="709"/>
              <w:jc w:val="both"/>
              <w:rPr>
                <w:rFonts w:ascii="Arial" w:hAnsi="Arial" w:cs="Arial"/>
                <w:color w:val="000000" w:themeColor="text1"/>
                <w:sz w:val="20"/>
                <w:szCs w:val="20"/>
              </w:rPr>
            </w:pPr>
            <w:r w:rsidRPr="00A72C1B">
              <w:rPr>
                <w:rFonts w:ascii="Arial" w:hAnsi="Arial" w:cs="Arial"/>
                <w:color w:val="000000" w:themeColor="text1"/>
                <w:sz w:val="20"/>
                <w:szCs w:val="20"/>
              </w:rPr>
              <w:t xml:space="preserve">Ofsted identified TMS as providing </w:t>
            </w:r>
            <w:r>
              <w:rPr>
                <w:rFonts w:ascii="Arial" w:hAnsi="Arial" w:cs="Arial"/>
                <w:color w:val="000000" w:themeColor="text1"/>
                <w:sz w:val="20"/>
                <w:szCs w:val="20"/>
              </w:rPr>
              <w:t>‘O</w:t>
            </w:r>
            <w:r w:rsidRPr="00A72C1B">
              <w:rPr>
                <w:rFonts w:ascii="Arial" w:hAnsi="Arial" w:cs="Arial"/>
                <w:color w:val="000000" w:themeColor="text1"/>
                <w:sz w:val="20"/>
                <w:szCs w:val="20"/>
              </w:rPr>
              <w:t>utstanding</w:t>
            </w:r>
            <w:r>
              <w:rPr>
                <w:rFonts w:ascii="Arial" w:hAnsi="Arial" w:cs="Arial"/>
                <w:color w:val="000000" w:themeColor="text1"/>
                <w:sz w:val="20"/>
                <w:szCs w:val="20"/>
              </w:rPr>
              <w:t>’</w:t>
            </w:r>
            <w:r w:rsidRPr="00A72C1B">
              <w:rPr>
                <w:rFonts w:ascii="Arial" w:hAnsi="Arial" w:cs="Arial"/>
                <w:color w:val="000000" w:themeColor="text1"/>
                <w:sz w:val="20"/>
                <w:szCs w:val="20"/>
              </w:rPr>
              <w:t xml:space="preserve"> support for vulnerable learners.  The school has seen a considerable improvement in pupil numbers in recent years.</w:t>
            </w:r>
          </w:p>
          <w:p w:rsidR="003E6140" w:rsidRPr="00A72C1B" w:rsidRDefault="00A72C1B" w:rsidP="00D62912">
            <w:pPr>
              <w:pStyle w:val="ListParagraph"/>
              <w:numPr>
                <w:ilvl w:val="0"/>
                <w:numId w:val="1"/>
              </w:numPr>
              <w:ind w:left="709"/>
              <w:jc w:val="both"/>
              <w:rPr>
                <w:rFonts w:ascii="Arial" w:hAnsi="Arial" w:cs="Arial"/>
                <w:color w:val="000000" w:themeColor="text1"/>
                <w:sz w:val="20"/>
                <w:szCs w:val="20"/>
              </w:rPr>
            </w:pPr>
            <w:r>
              <w:rPr>
                <w:rFonts w:ascii="Arial" w:hAnsi="Arial" w:cs="Arial"/>
                <w:color w:val="000000" w:themeColor="text1"/>
                <w:sz w:val="20"/>
                <w:szCs w:val="20"/>
              </w:rPr>
              <w:t>The local community now has a ‘Good’ school with ‘Outsta</w:t>
            </w:r>
            <w:r w:rsidR="00201213">
              <w:rPr>
                <w:rFonts w:ascii="Arial" w:hAnsi="Arial" w:cs="Arial"/>
                <w:color w:val="000000" w:themeColor="text1"/>
                <w:sz w:val="20"/>
                <w:szCs w:val="20"/>
              </w:rPr>
              <w:t>nding’ features on their doorste</w:t>
            </w:r>
            <w:r>
              <w:rPr>
                <w:rFonts w:ascii="Arial" w:hAnsi="Arial" w:cs="Arial"/>
                <w:color w:val="000000" w:themeColor="text1"/>
                <w:sz w:val="20"/>
                <w:szCs w:val="20"/>
              </w:rPr>
              <w:t>p.</w:t>
            </w:r>
          </w:p>
          <w:p w:rsidR="003E6140" w:rsidRPr="00A72C1B" w:rsidRDefault="003E6140" w:rsidP="00D62912">
            <w:pPr>
              <w:jc w:val="both"/>
              <w:rPr>
                <w:sz w:val="20"/>
                <w:szCs w:val="20"/>
              </w:rPr>
            </w:pPr>
          </w:p>
        </w:tc>
      </w:tr>
    </w:tbl>
    <w:p w:rsidR="003E6140" w:rsidRPr="00A72C1B" w:rsidRDefault="003E6140" w:rsidP="00A72C1B">
      <w:pPr>
        <w:rPr>
          <w:sz w:val="20"/>
          <w:szCs w:val="20"/>
        </w:rPr>
      </w:pPr>
    </w:p>
    <w:sectPr w:rsidR="003E6140" w:rsidRPr="00A72C1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8E" w:rsidRDefault="006A5A8E" w:rsidP="00483721">
      <w:r>
        <w:separator/>
      </w:r>
    </w:p>
  </w:endnote>
  <w:endnote w:type="continuationSeparator" w:id="0">
    <w:p w:rsidR="006A5A8E" w:rsidRDefault="006A5A8E" w:rsidP="0048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8E" w:rsidRDefault="006A5A8E" w:rsidP="00483721">
      <w:r>
        <w:separator/>
      </w:r>
    </w:p>
  </w:footnote>
  <w:footnote w:type="continuationSeparator" w:id="0">
    <w:p w:rsidR="006A5A8E" w:rsidRDefault="006A5A8E" w:rsidP="00483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721" w:rsidRDefault="00483721" w:rsidP="00483721">
    <w:pPr>
      <w:pStyle w:val="Header"/>
      <w:jc w:val="center"/>
    </w:pPr>
    <w:r>
      <w:rPr>
        <w:noProof/>
      </w:rPr>
      <w:drawing>
        <wp:inline distT="0" distB="0" distL="0" distR="0" wp14:anchorId="5AFDAE4B" wp14:editId="15595A16">
          <wp:extent cx="2533650" cy="7524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089"/>
    <w:multiLevelType w:val="hybridMultilevel"/>
    <w:tmpl w:val="9BCA04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140"/>
    <w:rsid w:val="00035163"/>
    <w:rsid w:val="001B6F76"/>
    <w:rsid w:val="00201213"/>
    <w:rsid w:val="00273DD3"/>
    <w:rsid w:val="003E6140"/>
    <w:rsid w:val="003F7260"/>
    <w:rsid w:val="0043377B"/>
    <w:rsid w:val="00483721"/>
    <w:rsid w:val="005573CD"/>
    <w:rsid w:val="006A5A8E"/>
    <w:rsid w:val="00732B84"/>
    <w:rsid w:val="007B444B"/>
    <w:rsid w:val="007F58C0"/>
    <w:rsid w:val="007F79B0"/>
    <w:rsid w:val="008450FE"/>
    <w:rsid w:val="009D70F3"/>
    <w:rsid w:val="00A6741D"/>
    <w:rsid w:val="00A72C1B"/>
    <w:rsid w:val="00B44BE7"/>
    <w:rsid w:val="00D063B5"/>
    <w:rsid w:val="00D55CC9"/>
    <w:rsid w:val="00D62912"/>
    <w:rsid w:val="00D66453"/>
    <w:rsid w:val="00E373C0"/>
    <w:rsid w:val="00EF3A47"/>
    <w:rsid w:val="00FA695F"/>
    <w:rsid w:val="00FD0F1B"/>
    <w:rsid w:val="00FF1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40"/>
    <w:pPr>
      <w:spacing w:after="0" w:line="240" w:lineRule="auto"/>
    </w:pPr>
    <w:rPr>
      <w:rFonts w:ascii="Arial" w:eastAsia="Times New Roman" w:hAnsi="Arial" w:cs="Times New Roman"/>
      <w:sz w:val="24"/>
      <w:szCs w:val="24"/>
      <w:lang w:eastAsia="en-GB"/>
    </w:rPr>
  </w:style>
  <w:style w:type="paragraph" w:styleId="Heading3">
    <w:name w:val="heading 3"/>
    <w:basedOn w:val="Normal"/>
    <w:link w:val="Heading3Char"/>
    <w:uiPriority w:val="9"/>
    <w:qFormat/>
    <w:rsid w:val="00FF182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E6140"/>
    <w:pPr>
      <w:ind w:left="720"/>
      <w:contextualSpacing/>
    </w:pPr>
    <w:rPr>
      <w:rFonts w:ascii="Cambria" w:eastAsia="Cambria" w:hAnsi="Cambria"/>
      <w:lang w:val="en-US" w:eastAsia="en-US"/>
    </w:rPr>
  </w:style>
  <w:style w:type="paragraph" w:styleId="Header">
    <w:name w:val="header"/>
    <w:basedOn w:val="Normal"/>
    <w:link w:val="HeaderChar"/>
    <w:uiPriority w:val="99"/>
    <w:unhideWhenUsed/>
    <w:rsid w:val="00483721"/>
    <w:pPr>
      <w:tabs>
        <w:tab w:val="center" w:pos="4513"/>
        <w:tab w:val="right" w:pos="9026"/>
      </w:tabs>
    </w:pPr>
  </w:style>
  <w:style w:type="character" w:customStyle="1" w:styleId="HeaderChar">
    <w:name w:val="Header Char"/>
    <w:basedOn w:val="DefaultParagraphFont"/>
    <w:link w:val="Header"/>
    <w:uiPriority w:val="99"/>
    <w:rsid w:val="00483721"/>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483721"/>
    <w:pPr>
      <w:tabs>
        <w:tab w:val="center" w:pos="4513"/>
        <w:tab w:val="right" w:pos="9026"/>
      </w:tabs>
    </w:pPr>
  </w:style>
  <w:style w:type="character" w:customStyle="1" w:styleId="FooterChar">
    <w:name w:val="Footer Char"/>
    <w:basedOn w:val="DefaultParagraphFont"/>
    <w:link w:val="Footer"/>
    <w:uiPriority w:val="99"/>
    <w:rsid w:val="00483721"/>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845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0FE"/>
    <w:rPr>
      <w:rFonts w:ascii="Segoe UI" w:eastAsia="Times New Roman" w:hAnsi="Segoe UI" w:cs="Segoe UI"/>
      <w:sz w:val="18"/>
      <w:szCs w:val="18"/>
      <w:lang w:eastAsia="en-GB"/>
    </w:rPr>
  </w:style>
  <w:style w:type="character" w:customStyle="1" w:styleId="Heading3Char">
    <w:name w:val="Heading 3 Char"/>
    <w:basedOn w:val="DefaultParagraphFont"/>
    <w:link w:val="Heading3"/>
    <w:uiPriority w:val="9"/>
    <w:rsid w:val="00FF182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F1828"/>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40"/>
    <w:pPr>
      <w:spacing w:after="0" w:line="240" w:lineRule="auto"/>
    </w:pPr>
    <w:rPr>
      <w:rFonts w:ascii="Arial" w:eastAsia="Times New Roman" w:hAnsi="Arial" w:cs="Times New Roman"/>
      <w:sz w:val="24"/>
      <w:szCs w:val="24"/>
      <w:lang w:eastAsia="en-GB"/>
    </w:rPr>
  </w:style>
  <w:style w:type="paragraph" w:styleId="Heading3">
    <w:name w:val="heading 3"/>
    <w:basedOn w:val="Normal"/>
    <w:link w:val="Heading3Char"/>
    <w:uiPriority w:val="9"/>
    <w:qFormat/>
    <w:rsid w:val="00FF1828"/>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E6140"/>
    <w:pPr>
      <w:ind w:left="720"/>
      <w:contextualSpacing/>
    </w:pPr>
    <w:rPr>
      <w:rFonts w:ascii="Cambria" w:eastAsia="Cambria" w:hAnsi="Cambria"/>
      <w:lang w:val="en-US" w:eastAsia="en-US"/>
    </w:rPr>
  </w:style>
  <w:style w:type="paragraph" w:styleId="Header">
    <w:name w:val="header"/>
    <w:basedOn w:val="Normal"/>
    <w:link w:val="HeaderChar"/>
    <w:uiPriority w:val="99"/>
    <w:unhideWhenUsed/>
    <w:rsid w:val="00483721"/>
    <w:pPr>
      <w:tabs>
        <w:tab w:val="center" w:pos="4513"/>
        <w:tab w:val="right" w:pos="9026"/>
      </w:tabs>
    </w:pPr>
  </w:style>
  <w:style w:type="character" w:customStyle="1" w:styleId="HeaderChar">
    <w:name w:val="Header Char"/>
    <w:basedOn w:val="DefaultParagraphFont"/>
    <w:link w:val="Header"/>
    <w:uiPriority w:val="99"/>
    <w:rsid w:val="00483721"/>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483721"/>
    <w:pPr>
      <w:tabs>
        <w:tab w:val="center" w:pos="4513"/>
        <w:tab w:val="right" w:pos="9026"/>
      </w:tabs>
    </w:pPr>
  </w:style>
  <w:style w:type="character" w:customStyle="1" w:styleId="FooterChar">
    <w:name w:val="Footer Char"/>
    <w:basedOn w:val="DefaultParagraphFont"/>
    <w:link w:val="Footer"/>
    <w:uiPriority w:val="99"/>
    <w:rsid w:val="00483721"/>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845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0FE"/>
    <w:rPr>
      <w:rFonts w:ascii="Segoe UI" w:eastAsia="Times New Roman" w:hAnsi="Segoe UI" w:cs="Segoe UI"/>
      <w:sz w:val="18"/>
      <w:szCs w:val="18"/>
      <w:lang w:eastAsia="en-GB"/>
    </w:rPr>
  </w:style>
  <w:style w:type="character" w:customStyle="1" w:styleId="Heading3Char">
    <w:name w:val="Heading 3 Char"/>
    <w:basedOn w:val="DefaultParagraphFont"/>
    <w:link w:val="Heading3"/>
    <w:uiPriority w:val="9"/>
    <w:rsid w:val="00FF182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F182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9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12D4494C</Template>
  <TotalTime>1</TotalTime>
  <Pages>2</Pages>
  <Words>995</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Gough, Rachel - ELS SSP</dc:creator>
  <cp:lastModifiedBy>Gough, Rachel - ELS SSP</cp:lastModifiedBy>
  <cp:revision>2</cp:revision>
  <cp:lastPrinted>2016-07-05T17:06:00Z</cp:lastPrinted>
  <dcterms:created xsi:type="dcterms:W3CDTF">2016-07-15T12:11:00Z</dcterms:created>
  <dcterms:modified xsi:type="dcterms:W3CDTF">2016-07-15T12:11:00Z</dcterms:modified>
</cp:coreProperties>
</file>